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719B" w:rsidRDefault="009A719B" w:rsidP="009A719B">
      <w:pPr>
        <w:rPr>
          <w:rFonts w:ascii="仿宋_GB2312" w:hAnsiTheme="majorEastAsia"/>
          <w:szCs w:val="32"/>
        </w:rPr>
      </w:pPr>
    </w:p>
    <w:p w:rsidR="009A719B" w:rsidRDefault="009A719B" w:rsidP="009A719B">
      <w:pPr>
        <w:rPr>
          <w:rFonts w:ascii="仿宋_GB2312" w:hAnsiTheme="majorEastAsia"/>
          <w:szCs w:val="32"/>
        </w:rPr>
      </w:pPr>
    </w:p>
    <w:p w:rsidR="00C974B7" w:rsidRPr="00C974B7" w:rsidRDefault="00C974B7" w:rsidP="00C974B7">
      <w:pPr>
        <w:autoSpaceDE w:val="0"/>
        <w:autoSpaceDN w:val="0"/>
        <w:adjustRightInd w:val="0"/>
        <w:ind w:leftChars="200" w:left="628" w:rightChars="200" w:right="628"/>
        <w:jc w:val="center"/>
        <w:rPr>
          <w:rFonts w:asciiTheme="majorEastAsia" w:eastAsiaTheme="majorEastAsia" w:hAnsiTheme="majorEastAsia"/>
          <w:sz w:val="44"/>
          <w:szCs w:val="44"/>
        </w:rPr>
      </w:pPr>
      <w:r w:rsidRPr="00C974B7">
        <w:rPr>
          <w:rFonts w:asciiTheme="majorEastAsia" w:eastAsiaTheme="majorEastAsia" w:hAnsiTheme="majorEastAsia" w:hint="eastAsia"/>
          <w:sz w:val="44"/>
          <w:szCs w:val="44"/>
        </w:rPr>
        <w:t>浙江省人民代表大会常务委员会</w:t>
      </w:r>
    </w:p>
    <w:p w:rsidR="00670366" w:rsidRDefault="00C974B7" w:rsidP="00C974B7">
      <w:pPr>
        <w:autoSpaceDE w:val="0"/>
        <w:autoSpaceDN w:val="0"/>
        <w:adjustRightInd w:val="0"/>
        <w:ind w:leftChars="200" w:left="628" w:rightChars="200" w:right="628"/>
        <w:jc w:val="center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  <w:r w:rsidRPr="00C974B7">
        <w:rPr>
          <w:rFonts w:asciiTheme="majorEastAsia" w:eastAsiaTheme="majorEastAsia" w:hAnsiTheme="majorEastAsia" w:hint="eastAsia"/>
          <w:sz w:val="44"/>
          <w:szCs w:val="44"/>
        </w:rPr>
        <w:t>关于资源税具体适用税率等事项的决定</w:t>
      </w:r>
    </w:p>
    <w:p w:rsidR="00C974B7" w:rsidRDefault="00C974B7" w:rsidP="009A719B">
      <w:pPr>
        <w:autoSpaceDE w:val="0"/>
        <w:autoSpaceDN w:val="0"/>
        <w:adjustRightInd w:val="0"/>
        <w:ind w:leftChars="200" w:left="628" w:rightChars="200" w:right="628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</w:p>
    <w:p w:rsidR="00C974B7" w:rsidRPr="00C974B7" w:rsidRDefault="006F1B2E" w:rsidP="00C974B7">
      <w:pPr>
        <w:autoSpaceDE w:val="0"/>
        <w:autoSpaceDN w:val="0"/>
        <w:adjustRightInd w:val="0"/>
        <w:ind w:leftChars="200" w:left="628" w:rightChars="200" w:right="628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  <w:r w:rsidRPr="006F1B2E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（</w:t>
      </w:r>
      <w:r w:rsidR="00C974B7" w:rsidRPr="00C974B7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2020年7月31日浙江省第十三届人民代表大会</w:t>
      </w:r>
    </w:p>
    <w:p w:rsidR="009A719B" w:rsidRPr="009A719B" w:rsidRDefault="00C974B7" w:rsidP="00C974B7">
      <w:pPr>
        <w:autoSpaceDE w:val="0"/>
        <w:autoSpaceDN w:val="0"/>
        <w:adjustRightInd w:val="0"/>
        <w:ind w:leftChars="200" w:left="628" w:rightChars="200" w:right="628"/>
        <w:rPr>
          <w:rFonts w:ascii="楷体_GB2312" w:eastAsia="楷体_GB2312" w:hAnsiTheme="minorEastAsia" w:cs="仿宋_GB2312"/>
          <w:color w:val="000000"/>
          <w:kern w:val="0"/>
          <w:szCs w:val="21"/>
          <w:lang w:val="zh-CN"/>
        </w:rPr>
      </w:pPr>
      <w:r w:rsidRPr="00C974B7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常务委员会第二十二次会议通过</w:t>
      </w:r>
      <w:r w:rsidR="006F1B2E" w:rsidRPr="006F1B2E">
        <w:rPr>
          <w:rFonts w:ascii="楷体_GB2312" w:eastAsia="楷体_GB2312" w:hAnsiTheme="minorEastAsia" w:cs="仿宋_GB2312" w:hint="eastAsia"/>
          <w:color w:val="000000"/>
          <w:kern w:val="0"/>
          <w:szCs w:val="21"/>
          <w:lang w:val="zh-CN"/>
        </w:rPr>
        <w:t>）</w:t>
      </w:r>
    </w:p>
    <w:p w:rsid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</w:p>
    <w:p w:rsidR="00C974B7" w:rsidRP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  <w:r w:rsidRPr="00C974B7">
        <w:rPr>
          <w:rFonts w:ascii="仿宋_GB2312" w:hAnsiTheme="majorEastAsia" w:hint="eastAsia"/>
          <w:szCs w:val="32"/>
        </w:rPr>
        <w:t>为了加强资源管理，促进资源节约集约利用和生态环境保护，根据《中华人民共和国资源税法》规定，结合本省实际，对本省资源税具体适用税率、计征方式和免征或者减征办法作如下决定：</w:t>
      </w:r>
    </w:p>
    <w:p w:rsidR="00C974B7" w:rsidRP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  <w:r w:rsidRPr="00C974B7">
        <w:rPr>
          <w:rFonts w:ascii="黑体" w:eastAsia="黑体" w:hAnsi="黑体" w:hint="eastAsia"/>
          <w:szCs w:val="32"/>
        </w:rPr>
        <w:t>一、</w:t>
      </w:r>
      <w:r w:rsidRPr="00C974B7">
        <w:rPr>
          <w:rFonts w:ascii="仿宋_GB2312" w:hAnsiTheme="majorEastAsia" w:hint="eastAsia"/>
          <w:szCs w:val="32"/>
        </w:rPr>
        <w:t>资源税的具体适用税率、计征方式依照《中华人民共和国资源税法》和本决定附件《浙江省资源税税目税率表》执行。</w:t>
      </w:r>
    </w:p>
    <w:p w:rsidR="00C974B7" w:rsidRP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  <w:r w:rsidRPr="00C974B7">
        <w:rPr>
          <w:rFonts w:ascii="黑体" w:eastAsia="黑体" w:hAnsi="黑体" w:hint="eastAsia"/>
          <w:szCs w:val="32"/>
        </w:rPr>
        <w:t>二、</w:t>
      </w:r>
      <w:r w:rsidRPr="00C974B7">
        <w:rPr>
          <w:rFonts w:ascii="仿宋_GB2312" w:hAnsiTheme="majorEastAsia" w:hint="eastAsia"/>
          <w:szCs w:val="32"/>
        </w:rPr>
        <w:t>符合《中华人民共和国资源税法》第七条规定情形的，按照以下规定减征或者免征资源税：</w:t>
      </w:r>
    </w:p>
    <w:p w:rsidR="00C974B7" w:rsidRP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  <w:r w:rsidRPr="00C974B7">
        <w:rPr>
          <w:rFonts w:ascii="仿宋_GB2312" w:hAnsiTheme="majorEastAsia" w:hint="eastAsia"/>
          <w:szCs w:val="32"/>
        </w:rPr>
        <w:t>（一）开采或者生产应税产品过程中，因意外事故或者自然灾害等原因遭受重大损失的，自遭受损失的当月起一年内减半征收资源税；</w:t>
      </w:r>
    </w:p>
    <w:p w:rsidR="00C974B7" w:rsidRP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  <w:r w:rsidRPr="00C974B7">
        <w:rPr>
          <w:rFonts w:ascii="仿宋_GB2312" w:hAnsiTheme="majorEastAsia" w:hint="eastAsia"/>
          <w:szCs w:val="32"/>
        </w:rPr>
        <w:t>（二）开采销售共生矿（铅锌共生矿除外），共生矿与主矿产品销售额分开核算的，对共生矿减半征收资源税；</w:t>
      </w:r>
    </w:p>
    <w:p w:rsidR="00C974B7" w:rsidRP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  <w:r w:rsidRPr="00C974B7">
        <w:rPr>
          <w:rFonts w:ascii="仿宋_GB2312" w:hAnsiTheme="majorEastAsia" w:hint="eastAsia"/>
          <w:szCs w:val="32"/>
        </w:rPr>
        <w:t>（三）开采销售伴生矿，伴生矿与主矿产品销售额分开核算的，对伴生矿免征资源税；</w:t>
      </w:r>
    </w:p>
    <w:p w:rsidR="00C974B7" w:rsidRP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  <w:r w:rsidRPr="00C974B7">
        <w:rPr>
          <w:rFonts w:ascii="仿宋_GB2312" w:hAnsiTheme="majorEastAsia" w:hint="eastAsia"/>
          <w:szCs w:val="32"/>
        </w:rPr>
        <w:lastRenderedPageBreak/>
        <w:t>（四）开采尾矿的，免征资源税。</w:t>
      </w:r>
    </w:p>
    <w:p w:rsidR="00C974B7" w:rsidRPr="00C974B7" w:rsidRDefault="00C974B7" w:rsidP="00C974B7">
      <w:pPr>
        <w:ind w:firstLineChars="200" w:firstLine="628"/>
        <w:rPr>
          <w:rFonts w:ascii="仿宋_GB2312" w:hAnsiTheme="majorEastAsia"/>
          <w:szCs w:val="32"/>
        </w:rPr>
      </w:pPr>
      <w:r w:rsidRPr="00C974B7">
        <w:rPr>
          <w:rFonts w:ascii="仿宋_GB2312" w:hAnsiTheme="majorEastAsia" w:hint="eastAsia"/>
          <w:szCs w:val="32"/>
        </w:rPr>
        <w:t>开采低品位矿的，不予免征或者减征资源税。</w:t>
      </w:r>
    </w:p>
    <w:p w:rsidR="009A719B" w:rsidRDefault="00C974B7" w:rsidP="00C974B7">
      <w:pPr>
        <w:ind w:firstLineChars="200" w:firstLine="628"/>
        <w:rPr>
          <w:rFonts w:ascii="仿宋_GB2312" w:hAnsiTheme="majorEastAsia" w:hint="eastAsia"/>
          <w:szCs w:val="32"/>
        </w:rPr>
      </w:pPr>
      <w:r w:rsidRPr="00C974B7">
        <w:rPr>
          <w:rFonts w:ascii="黑体" w:eastAsia="黑体" w:hAnsi="黑体" w:hint="eastAsia"/>
          <w:szCs w:val="32"/>
        </w:rPr>
        <w:t>三、</w:t>
      </w:r>
      <w:r w:rsidRPr="00C974B7">
        <w:rPr>
          <w:rFonts w:ascii="仿宋_GB2312" w:hAnsiTheme="majorEastAsia" w:hint="eastAsia"/>
          <w:szCs w:val="32"/>
        </w:rPr>
        <w:t>本决定自2020年9月1日起施行。</w:t>
      </w: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Pr="001316DB" w:rsidRDefault="001316DB" w:rsidP="001316DB">
      <w:pPr>
        <w:spacing w:line="600" w:lineRule="exact"/>
        <w:rPr>
          <w:rFonts w:ascii="楷体_GB2312" w:eastAsia="楷体_GB2312" w:cs="黑体" w:hint="eastAsia"/>
          <w:color w:val="000000"/>
          <w:szCs w:val="32"/>
        </w:rPr>
      </w:pPr>
      <w:r w:rsidRPr="001316DB">
        <w:rPr>
          <w:rFonts w:ascii="楷体_GB2312" w:eastAsia="楷体_GB2312" w:cs="黑体" w:hint="eastAsia"/>
          <w:color w:val="000000"/>
          <w:szCs w:val="32"/>
        </w:rPr>
        <w:lastRenderedPageBreak/>
        <w:t>附件：</w:t>
      </w:r>
    </w:p>
    <w:p w:rsidR="001316DB" w:rsidRPr="001316DB" w:rsidRDefault="001316DB" w:rsidP="001316DB">
      <w:pPr>
        <w:spacing w:beforeLines="50" w:before="295" w:afterLines="100" w:after="590" w:line="600" w:lineRule="exact"/>
        <w:jc w:val="center"/>
        <w:rPr>
          <w:rFonts w:asciiTheme="majorEastAsia" w:eastAsiaTheme="majorEastAsia" w:hAnsiTheme="majorEastAsia" w:cs="方正小标宋简体"/>
          <w:color w:val="000000"/>
          <w:sz w:val="44"/>
          <w:szCs w:val="44"/>
        </w:rPr>
      </w:pPr>
      <w:r w:rsidRPr="001316DB">
        <w:rPr>
          <w:rFonts w:asciiTheme="majorEastAsia" w:eastAsiaTheme="majorEastAsia" w:hAnsiTheme="majorEastAsia" w:cs="方正小标宋简体" w:hint="eastAsia"/>
          <w:color w:val="000000"/>
          <w:sz w:val="44"/>
          <w:szCs w:val="44"/>
        </w:rPr>
        <w:t>浙</w:t>
      </w:r>
      <w:bookmarkStart w:id="0" w:name="_GoBack"/>
      <w:bookmarkEnd w:id="0"/>
      <w:r w:rsidRPr="001316DB">
        <w:rPr>
          <w:rFonts w:asciiTheme="majorEastAsia" w:eastAsiaTheme="majorEastAsia" w:hAnsiTheme="majorEastAsia" w:cs="方正小标宋简体" w:hint="eastAsia"/>
          <w:color w:val="000000"/>
          <w:sz w:val="44"/>
          <w:szCs w:val="44"/>
        </w:rPr>
        <w:t>江省资源税税目税率表</w:t>
      </w:r>
    </w:p>
    <w:tbl>
      <w:tblPr>
        <w:tblW w:w="86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0"/>
        <w:gridCol w:w="647"/>
        <w:gridCol w:w="683"/>
        <w:gridCol w:w="2989"/>
        <w:gridCol w:w="1559"/>
        <w:gridCol w:w="585"/>
        <w:gridCol w:w="45"/>
        <w:gridCol w:w="1476"/>
      </w:tblGrid>
      <w:tr w:rsidR="001316DB" w:rsidRPr="0042546A" w:rsidTr="00C81B7B">
        <w:trPr>
          <w:trHeight w:val="257"/>
          <w:tblHeader/>
          <w:jc w:val="center"/>
        </w:trPr>
        <w:tc>
          <w:tcPr>
            <w:tcW w:w="68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431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税目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征税对象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税率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330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能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源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矿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产</w:t>
            </w: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330" w:type="dxa"/>
            <w:gridSpan w:val="2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330" w:type="dxa"/>
            <w:gridSpan w:val="2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石煤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330" w:type="dxa"/>
            <w:gridSpan w:val="2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1330" w:type="dxa"/>
            <w:gridSpan w:val="2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地热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每立方米</w:t>
            </w: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</w:t>
            </w: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元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647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金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 xml:space="preserve">    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属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 xml:space="preserve">    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矿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产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8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黑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色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金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属</w:t>
            </w: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铁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钒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钛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有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色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金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属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金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铜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铅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锡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锑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银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sz w:val="22"/>
              </w:rPr>
              <w:t>14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lastRenderedPageBreak/>
              <w:t>15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16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铋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17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汞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18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铌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19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20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铷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21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镓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23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镉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24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硒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25</w:t>
            </w:r>
          </w:p>
        </w:tc>
        <w:tc>
          <w:tcPr>
            <w:tcW w:w="647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非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 xml:space="preserve">    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金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 xml:space="preserve">    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属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 xml:space="preserve">    </w:t>
            </w: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矿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产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8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矿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物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类</w:t>
            </w: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高岭土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2.5%</w:t>
            </w:r>
          </w:p>
        </w:tc>
      </w:tr>
      <w:tr w:rsidR="001316DB" w:rsidRPr="0042546A" w:rsidTr="00C81B7B">
        <w:trPr>
          <w:trHeight w:val="309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26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萤石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27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磷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1017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28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石灰岩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63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6%</w:t>
            </w:r>
          </w:p>
        </w:tc>
        <w:tc>
          <w:tcPr>
            <w:tcW w:w="1476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自用或者连续加工成非应税产品的从量计征，按每吨</w:t>
            </w: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</w:t>
            </w: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元征收。</w:t>
            </w:r>
          </w:p>
          <w:p w:rsidR="001316DB" w:rsidRPr="0042546A" w:rsidRDefault="001316DB" w:rsidP="00C81B7B">
            <w:pPr>
              <w:widowControl/>
              <w:spacing w:line="340" w:lineRule="exact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</w:tr>
      <w:tr w:rsidR="001316DB" w:rsidRPr="0042546A" w:rsidTr="00C81B7B">
        <w:trPr>
          <w:trHeight w:val="526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63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6%</w:t>
            </w:r>
          </w:p>
        </w:tc>
        <w:tc>
          <w:tcPr>
            <w:tcW w:w="1476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29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硫铁矿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30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硅藻土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31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脉石英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32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膨润土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8.0%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33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耐火粘土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34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伊利石粘土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35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陶瓷土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36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砷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37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硼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38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长石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39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天然石英砂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17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40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其他粘土（铸型用粘土、砖瓦用粘土、陶粒用粘土、水泥配料用粘土、水泥配料用红土、水泥配料用黄土、水泥配料用泥岩、保温材料用粘土）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每吨</w:t>
            </w: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2.5</w:t>
            </w: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元</w:t>
            </w:r>
          </w:p>
        </w:tc>
      </w:tr>
      <w:tr w:rsidR="001316DB" w:rsidRPr="0042546A" w:rsidTr="00C81B7B">
        <w:trPr>
          <w:trHeight w:val="17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41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明矾石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42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沸石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43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珍珠岩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44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方解石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45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硅灰石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46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叶蜡石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47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重晶石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48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云母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sz w:val="22"/>
              </w:rPr>
              <w:t>49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透辉石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sz w:val="22"/>
              </w:rPr>
              <w:t>50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白垩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5.5%</w:t>
            </w:r>
          </w:p>
        </w:tc>
      </w:tr>
      <w:tr w:rsidR="001316DB" w:rsidRPr="0042546A" w:rsidTr="00C81B7B">
        <w:trPr>
          <w:trHeight w:val="356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51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岩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石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类</w:t>
            </w:r>
          </w:p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白云岩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3.0%</w:t>
            </w:r>
          </w:p>
        </w:tc>
      </w:tr>
      <w:tr w:rsidR="001316DB" w:rsidRPr="0042546A" w:rsidTr="00C81B7B">
        <w:trPr>
          <w:trHeight w:val="279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52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石英岩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7.5%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53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花岗岩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8.0%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54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大理岩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55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玄武岩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56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凝灰岩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57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闪长岩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1.5%</w:t>
            </w:r>
          </w:p>
        </w:tc>
      </w:tr>
      <w:tr w:rsidR="001316DB" w:rsidRPr="0042546A" w:rsidTr="00C81B7B">
        <w:trPr>
          <w:trHeight w:val="480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58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辉绿岩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1.5%</w:t>
            </w:r>
          </w:p>
        </w:tc>
      </w:tr>
      <w:tr w:rsidR="001316DB" w:rsidRPr="0042546A" w:rsidTr="00C81B7B">
        <w:trPr>
          <w:trHeight w:val="510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59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安山岩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495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lastRenderedPageBreak/>
              <w:t>60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片麻岩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61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板岩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62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页岩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63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砂岩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1.0%</w:t>
            </w:r>
          </w:p>
        </w:tc>
      </w:tr>
      <w:tr w:rsidR="001316DB" w:rsidRPr="0042546A" w:rsidTr="00C81B7B">
        <w:trPr>
          <w:trHeight w:val="324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64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含钾砂页岩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sz w:val="22"/>
              </w:rPr>
              <w:t>65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泥炭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5.5%</w:t>
            </w: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4.0%</w:t>
            </w:r>
          </w:p>
        </w:tc>
      </w:tr>
      <w:tr w:rsidR="001316DB" w:rsidRPr="0042546A" w:rsidTr="00C81B7B">
        <w:trPr>
          <w:trHeight w:val="861"/>
          <w:jc w:val="center"/>
        </w:trPr>
        <w:tc>
          <w:tcPr>
            <w:tcW w:w="680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sz w:val="22"/>
              </w:rPr>
              <w:t>66</w:t>
            </w: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color w:val="000000"/>
                <w:sz w:val="22"/>
              </w:rPr>
            </w:pPr>
          </w:p>
        </w:tc>
        <w:tc>
          <w:tcPr>
            <w:tcW w:w="2989" w:type="dxa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砂石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58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4%</w:t>
            </w:r>
          </w:p>
        </w:tc>
        <w:tc>
          <w:tcPr>
            <w:tcW w:w="1521" w:type="dxa"/>
            <w:gridSpan w:val="2"/>
            <w:vMerge w:val="restart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自用或者连续加工成非应税产品的从量计征，按每吨</w:t>
            </w: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</w:t>
            </w: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元征收。</w:t>
            </w:r>
          </w:p>
        </w:tc>
      </w:tr>
      <w:tr w:rsidR="001316DB" w:rsidRPr="0042546A" w:rsidTr="00C81B7B">
        <w:trPr>
          <w:trHeight w:val="497"/>
          <w:jc w:val="center"/>
        </w:trPr>
        <w:tc>
          <w:tcPr>
            <w:tcW w:w="680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</w:p>
        </w:tc>
        <w:tc>
          <w:tcPr>
            <w:tcW w:w="647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</w:p>
        </w:tc>
        <w:tc>
          <w:tcPr>
            <w:tcW w:w="683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</w:p>
        </w:tc>
        <w:tc>
          <w:tcPr>
            <w:tcW w:w="2989" w:type="dxa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选矿</w:t>
            </w:r>
          </w:p>
        </w:tc>
        <w:tc>
          <w:tcPr>
            <w:tcW w:w="585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eastAsia="宋体"/>
                <w:szCs w:val="24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3%</w:t>
            </w:r>
          </w:p>
        </w:tc>
        <w:tc>
          <w:tcPr>
            <w:tcW w:w="1521" w:type="dxa"/>
            <w:gridSpan w:val="2"/>
            <w:vMerge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kern w:val="0"/>
                <w:sz w:val="22"/>
                <w:lang w:bidi="ar"/>
              </w:rPr>
            </w:pPr>
          </w:p>
        </w:tc>
      </w:tr>
      <w:tr w:rsidR="001316DB" w:rsidRPr="0042546A" w:rsidTr="00C81B7B">
        <w:trPr>
          <w:trHeight w:val="218"/>
          <w:jc w:val="center"/>
        </w:trPr>
        <w:tc>
          <w:tcPr>
            <w:tcW w:w="68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sz w:val="22"/>
              </w:rPr>
              <w:t>67</w:t>
            </w:r>
          </w:p>
        </w:tc>
        <w:tc>
          <w:tcPr>
            <w:tcW w:w="133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水气矿产</w:t>
            </w:r>
          </w:p>
        </w:tc>
        <w:tc>
          <w:tcPr>
            <w:tcW w:w="29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矿泉水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原矿</w:t>
            </w: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  <w:tr w:rsidR="001316DB" w:rsidRPr="0042546A" w:rsidTr="00C81B7B">
        <w:trPr>
          <w:trHeight w:val="223"/>
          <w:jc w:val="center"/>
        </w:trPr>
        <w:tc>
          <w:tcPr>
            <w:tcW w:w="68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sz w:val="22"/>
              </w:rPr>
              <w:t>68</w:t>
            </w:r>
          </w:p>
        </w:tc>
        <w:tc>
          <w:tcPr>
            <w:tcW w:w="1330" w:type="dxa"/>
            <w:gridSpan w:val="2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盐</w:t>
            </w:r>
          </w:p>
        </w:tc>
        <w:tc>
          <w:tcPr>
            <w:tcW w:w="298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color w:val="000000"/>
                <w:sz w:val="22"/>
              </w:rPr>
            </w:pPr>
            <w:r w:rsidRPr="0042546A">
              <w:rPr>
                <w:rFonts w:cs="仿宋_GB2312" w:hint="eastAsia"/>
                <w:color w:val="000000"/>
                <w:kern w:val="0"/>
                <w:sz w:val="22"/>
                <w:lang w:bidi="ar"/>
              </w:rPr>
              <w:t>海盐</w:t>
            </w:r>
          </w:p>
        </w:tc>
        <w:tc>
          <w:tcPr>
            <w:tcW w:w="1559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rPr>
                <w:rFonts w:cs="仿宋_GB2312"/>
                <w:bCs/>
                <w:color w:val="000000"/>
                <w:sz w:val="22"/>
              </w:rPr>
            </w:pPr>
          </w:p>
        </w:tc>
        <w:tc>
          <w:tcPr>
            <w:tcW w:w="2106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 w:rsidR="001316DB" w:rsidRPr="0042546A" w:rsidRDefault="001316DB" w:rsidP="00C81B7B">
            <w:pPr>
              <w:widowControl/>
              <w:spacing w:line="340" w:lineRule="exact"/>
              <w:jc w:val="center"/>
              <w:textAlignment w:val="center"/>
              <w:rPr>
                <w:rFonts w:cs="仿宋_GB2312"/>
                <w:bCs/>
                <w:color w:val="000000"/>
                <w:sz w:val="22"/>
              </w:rPr>
            </w:pPr>
            <w:r w:rsidRPr="0042546A">
              <w:rPr>
                <w:rFonts w:cs="仿宋_GB2312" w:hint="eastAsia"/>
                <w:bCs/>
                <w:color w:val="000000"/>
                <w:kern w:val="0"/>
                <w:sz w:val="22"/>
                <w:lang w:bidi="ar"/>
              </w:rPr>
              <w:t>2.0%</w:t>
            </w:r>
          </w:p>
        </w:tc>
      </w:tr>
    </w:tbl>
    <w:p w:rsidR="001316DB" w:rsidRDefault="001316DB" w:rsidP="00C974B7">
      <w:pPr>
        <w:ind w:firstLineChars="200" w:firstLine="628"/>
        <w:rPr>
          <w:rFonts w:ascii="仿宋_GB2312" w:hAnsiTheme="majorEastAsia" w:hint="eastAsia"/>
          <w:szCs w:val="32"/>
        </w:rPr>
      </w:pPr>
    </w:p>
    <w:p w:rsidR="001316DB" w:rsidRPr="001316DB" w:rsidRDefault="001316DB" w:rsidP="00C974B7">
      <w:pPr>
        <w:ind w:firstLineChars="200" w:firstLine="628"/>
        <w:rPr>
          <w:rFonts w:ascii="仿宋_GB2312" w:hAnsiTheme="majorEastAsia"/>
          <w:szCs w:val="32"/>
        </w:rPr>
      </w:pPr>
    </w:p>
    <w:sectPr w:rsidR="001316DB" w:rsidRPr="001316DB" w:rsidSect="00D57722">
      <w:footerReference w:type="even" r:id="rId9"/>
      <w:footerReference w:type="default" r:id="rId10"/>
      <w:pgSz w:w="11906" w:h="16838"/>
      <w:pgMar w:top="2013" w:right="1474" w:bottom="1899" w:left="1588" w:header="851" w:footer="1037" w:gutter="0"/>
      <w:cols w:space="720"/>
      <w:docGrid w:type="linesAndChars" w:linePitch="590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D8D" w:rsidRDefault="00C16D8D" w:rsidP="00D57722">
      <w:pPr>
        <w:spacing w:line="240" w:lineRule="auto"/>
      </w:pPr>
      <w:r>
        <w:separator/>
      </w:r>
    </w:p>
  </w:endnote>
  <w:endnote w:type="continuationSeparator" w:id="0">
    <w:p w:rsidR="00C16D8D" w:rsidRDefault="00C16D8D" w:rsidP="00D57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黑体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spacing w:line="471" w:lineRule="auto"/>
      <w:ind w:leftChars="100" w:left="308"/>
      <w:jc w:val="left"/>
      <w:rPr>
        <w:rStyle w:val="a6"/>
        <w:rFonts w:ascii="宋体" w:eastAsia="宋体" w:hAnsi="宋体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hint="eastAsia"/>
        <w:sz w:val="28"/>
      </w:rPr>
      <w:fldChar w:fldCharType="begin"/>
    </w:r>
    <w:r>
      <w:rPr>
        <w:rStyle w:val="a6"/>
        <w:rFonts w:ascii="宋体" w:eastAsia="宋体" w:hAnsi="宋体" w:hint="eastAsia"/>
        <w:sz w:val="28"/>
      </w:rPr>
      <w:instrText xml:space="preserve"> PAGE </w:instrText>
    </w:r>
    <w:r w:rsidR="00D57722">
      <w:rPr>
        <w:rFonts w:ascii="宋体" w:eastAsia="宋体" w:hAnsi="宋体" w:hint="eastAsia"/>
        <w:sz w:val="28"/>
      </w:rPr>
      <w:fldChar w:fldCharType="separate"/>
    </w:r>
    <w:r w:rsidR="001316DB">
      <w:rPr>
        <w:rStyle w:val="a6"/>
        <w:rFonts w:ascii="宋体" w:eastAsia="宋体" w:hAnsi="宋体"/>
        <w:noProof/>
        <w:sz w:val="28"/>
      </w:rPr>
      <w:t>6</w:t>
    </w:r>
    <w:r w:rsidR="00D57722">
      <w:rPr>
        <w:rFonts w:ascii="宋体" w:eastAsia="宋体" w:hAnsi="宋体" w:hint="eastAsia"/>
        <w:sz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722" w:rsidRDefault="00821AE1">
    <w:pPr>
      <w:pStyle w:val="a4"/>
      <w:wordWrap w:val="0"/>
      <w:spacing w:line="478" w:lineRule="auto"/>
      <w:ind w:rightChars="100" w:right="308"/>
      <w:jc w:val="right"/>
      <w:rPr>
        <w:rFonts w:ascii="楷体_GB2312" w:eastAsia="楷体_GB2312"/>
        <w:sz w:val="28"/>
      </w:rPr>
    </w:pPr>
    <w:r>
      <w:rPr>
        <w:rStyle w:val="a6"/>
        <w:rFonts w:ascii="宋体" w:eastAsia="宋体" w:hAnsi="宋体" w:hint="eastAsia"/>
        <w:sz w:val="28"/>
      </w:rPr>
      <w:t xml:space="preserve">— </w:t>
    </w:r>
    <w:r w:rsidR="00D57722">
      <w:rPr>
        <w:rFonts w:ascii="宋体" w:eastAsia="宋体" w:hAnsi="宋体" w:cs="宋体" w:hint="eastAsia"/>
        <w:sz w:val="28"/>
        <w:szCs w:val="28"/>
      </w:rPr>
      <w:fldChar w:fldCharType="begin"/>
    </w:r>
    <w:r>
      <w:rPr>
        <w:rStyle w:val="a6"/>
        <w:rFonts w:ascii="宋体" w:eastAsia="宋体" w:hAnsi="宋体" w:cs="宋体" w:hint="eastAsia"/>
        <w:sz w:val="28"/>
        <w:szCs w:val="28"/>
      </w:rPr>
      <w:instrText xml:space="preserve"> PAGE \* MERGEFORMAT </w:instrText>
    </w:r>
    <w:r w:rsidR="00D57722">
      <w:rPr>
        <w:rFonts w:ascii="宋体" w:eastAsia="宋体" w:hAnsi="宋体" w:cs="宋体" w:hint="eastAsia"/>
        <w:sz w:val="28"/>
        <w:szCs w:val="28"/>
      </w:rPr>
      <w:fldChar w:fldCharType="separate"/>
    </w:r>
    <w:r w:rsidR="001316DB" w:rsidRPr="001316DB">
      <w:rPr>
        <w:noProof/>
      </w:rPr>
      <w:t>7</w:t>
    </w:r>
    <w:r w:rsidR="00D57722">
      <w:rPr>
        <w:rFonts w:ascii="宋体" w:eastAsia="宋体" w:hAnsi="宋体" w:cs="宋体" w:hint="eastAsia"/>
        <w:sz w:val="28"/>
        <w:szCs w:val="28"/>
      </w:rPr>
      <w:fldChar w:fldCharType="end"/>
    </w:r>
    <w:r>
      <w:rPr>
        <w:rStyle w:val="a6"/>
        <w:rFonts w:ascii="宋体" w:eastAsia="宋体" w:hAnsi="宋体" w:hint="eastAsia"/>
        <w:sz w:val="28"/>
      </w:rPr>
      <w:t>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D8D" w:rsidRDefault="00C16D8D" w:rsidP="00D57722">
      <w:pPr>
        <w:spacing w:line="240" w:lineRule="auto"/>
      </w:pPr>
      <w:r>
        <w:separator/>
      </w:r>
    </w:p>
  </w:footnote>
  <w:footnote w:type="continuationSeparator" w:id="0">
    <w:p w:rsidR="00C16D8D" w:rsidRDefault="00C16D8D" w:rsidP="00D577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chineseCountingThousand"/>
      <w:pStyle w:val="a"/>
      <w:suff w:val="space"/>
      <w:lvlText w:val="第%1章"/>
      <w:lvlJc w:val="left"/>
      <w:pPr>
        <w:ind w:left="0" w:firstLine="454"/>
      </w:pPr>
      <w:rPr>
        <w:rFonts w:eastAsia="方正黑体_GBK" w:hint="eastAsia"/>
        <w:color w:val="auto"/>
      </w:rPr>
    </w:lvl>
    <w:lvl w:ilvl="1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eastAsia="方正黑体_GBK" w:hint="eastAsia"/>
        <w:color w:val="auto"/>
      </w:rPr>
    </w:lvl>
    <w:lvl w:ilvl="2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308"/>
  <w:drawingGridVerticalSpacing w:val="295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iDocStyle" w:val="2"/>
  </w:docVars>
  <w:rsids>
    <w:rsidRoot w:val="0FE0082F"/>
    <w:rsid w:val="E8DDC30C"/>
    <w:rsid w:val="EE7F5BE4"/>
    <w:rsid w:val="EFFCBC21"/>
    <w:rsid w:val="FFF57E51"/>
    <w:rsid w:val="00012509"/>
    <w:rsid w:val="00071F92"/>
    <w:rsid w:val="000A30AE"/>
    <w:rsid w:val="000B718B"/>
    <w:rsid w:val="001316DB"/>
    <w:rsid w:val="00195369"/>
    <w:rsid w:val="001B173E"/>
    <w:rsid w:val="001F408F"/>
    <w:rsid w:val="0026714C"/>
    <w:rsid w:val="002832D4"/>
    <w:rsid w:val="00325CCF"/>
    <w:rsid w:val="003F4F52"/>
    <w:rsid w:val="00442C30"/>
    <w:rsid w:val="00471C2E"/>
    <w:rsid w:val="004E6073"/>
    <w:rsid w:val="00543115"/>
    <w:rsid w:val="0055646D"/>
    <w:rsid w:val="005D1282"/>
    <w:rsid w:val="00664B93"/>
    <w:rsid w:val="00670366"/>
    <w:rsid w:val="00673543"/>
    <w:rsid w:val="006844AE"/>
    <w:rsid w:val="00693CC7"/>
    <w:rsid w:val="006F1B2E"/>
    <w:rsid w:val="007072FA"/>
    <w:rsid w:val="00760C78"/>
    <w:rsid w:val="007A02F1"/>
    <w:rsid w:val="007C6B43"/>
    <w:rsid w:val="007E7972"/>
    <w:rsid w:val="00821AE1"/>
    <w:rsid w:val="00863851"/>
    <w:rsid w:val="00881273"/>
    <w:rsid w:val="00885EF2"/>
    <w:rsid w:val="0089206F"/>
    <w:rsid w:val="0089292F"/>
    <w:rsid w:val="008A579E"/>
    <w:rsid w:val="009A719B"/>
    <w:rsid w:val="009D7F52"/>
    <w:rsid w:val="009E0FFF"/>
    <w:rsid w:val="009F46E8"/>
    <w:rsid w:val="00A0649E"/>
    <w:rsid w:val="00A1480A"/>
    <w:rsid w:val="00A63AA8"/>
    <w:rsid w:val="00B26CB1"/>
    <w:rsid w:val="00B328B8"/>
    <w:rsid w:val="00B57C35"/>
    <w:rsid w:val="00BC2E44"/>
    <w:rsid w:val="00BC69E5"/>
    <w:rsid w:val="00C16D8D"/>
    <w:rsid w:val="00C26BE1"/>
    <w:rsid w:val="00C53B1D"/>
    <w:rsid w:val="00C668EF"/>
    <w:rsid w:val="00C971A5"/>
    <w:rsid w:val="00C974B7"/>
    <w:rsid w:val="00D41F28"/>
    <w:rsid w:val="00D57722"/>
    <w:rsid w:val="00DB1A8B"/>
    <w:rsid w:val="00DF139B"/>
    <w:rsid w:val="00DF69CD"/>
    <w:rsid w:val="00E05930"/>
    <w:rsid w:val="00F46CC1"/>
    <w:rsid w:val="00F51BDE"/>
    <w:rsid w:val="00F912FC"/>
    <w:rsid w:val="00FD5D6F"/>
    <w:rsid w:val="00FE2DAA"/>
    <w:rsid w:val="00FF61EA"/>
    <w:rsid w:val="012F690B"/>
    <w:rsid w:val="016D1377"/>
    <w:rsid w:val="018C7A5D"/>
    <w:rsid w:val="01C27AAF"/>
    <w:rsid w:val="02226A01"/>
    <w:rsid w:val="022A796F"/>
    <w:rsid w:val="023B20B0"/>
    <w:rsid w:val="024E78A8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CBF2113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6C1014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77C58"/>
    <w:rsid w:val="17B1234E"/>
    <w:rsid w:val="18276355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EBC1A82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611DF0"/>
    <w:rsid w:val="226F638E"/>
    <w:rsid w:val="228355F0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A312289"/>
    <w:rsid w:val="3B3974D3"/>
    <w:rsid w:val="3B495673"/>
    <w:rsid w:val="3B617677"/>
    <w:rsid w:val="3C566319"/>
    <w:rsid w:val="3C5F7F6C"/>
    <w:rsid w:val="3C844E55"/>
    <w:rsid w:val="3DAC7411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4F850153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29446D"/>
    <w:rsid w:val="645A3EE7"/>
    <w:rsid w:val="65B43576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5D5C7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ne number" w:qFormat="1"/>
    <w:lsdException w:name="page number" w:qFormat="1"/>
    <w:lsdException w:name="Title" w:qFormat="1"/>
    <w:lsdException w:name="Default Paragraph Fo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7722"/>
    <w:pPr>
      <w:widowControl w:val="0"/>
      <w:spacing w:line="240" w:lineRule="atLeast"/>
      <w:jc w:val="both"/>
    </w:pPr>
    <w:rPr>
      <w:rFonts w:eastAsia="仿宋_GB2312"/>
      <w:spacing w:val="-6"/>
      <w:kern w:val="2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paragraph" w:styleId="a5">
    <w:name w:val="header"/>
    <w:basedOn w:val="a0"/>
    <w:qFormat/>
    <w:rsid w:val="00D57722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20"/>
    </w:rPr>
  </w:style>
  <w:style w:type="character" w:styleId="a6">
    <w:name w:val="page number"/>
    <w:basedOn w:val="a1"/>
    <w:qFormat/>
    <w:rsid w:val="00D57722"/>
  </w:style>
  <w:style w:type="character" w:styleId="a7">
    <w:name w:val="FollowedHyperlink"/>
    <w:basedOn w:val="a1"/>
    <w:qFormat/>
    <w:rsid w:val="00D57722"/>
    <w:rPr>
      <w:color w:val="800080"/>
      <w:sz w:val="18"/>
      <w:szCs w:val="18"/>
      <w:u w:val="none"/>
    </w:rPr>
  </w:style>
  <w:style w:type="character" w:styleId="a8">
    <w:name w:val="line number"/>
    <w:basedOn w:val="a1"/>
    <w:qFormat/>
    <w:rsid w:val="00D57722"/>
  </w:style>
  <w:style w:type="character" w:styleId="a9">
    <w:name w:val="Hyperlink"/>
    <w:basedOn w:val="a1"/>
    <w:qFormat/>
    <w:rsid w:val="00D57722"/>
    <w:rPr>
      <w:color w:val="0000FF"/>
      <w:sz w:val="18"/>
      <w:szCs w:val="18"/>
      <w:u w:val="none"/>
    </w:rPr>
  </w:style>
  <w:style w:type="paragraph" w:customStyle="1" w:styleId="a">
    <w:name w:val="居中"/>
    <w:basedOn w:val="a0"/>
    <w:qFormat/>
    <w:rsid w:val="00D57722"/>
    <w:pPr>
      <w:numPr>
        <w:numId w:val="1"/>
      </w:numPr>
    </w:pPr>
  </w:style>
  <w:style w:type="paragraph" w:customStyle="1" w:styleId="1">
    <w:name w:val="列出段落1"/>
    <w:basedOn w:val="a0"/>
    <w:qFormat/>
    <w:rsid w:val="00D57722"/>
    <w:pPr>
      <w:ind w:firstLineChars="200" w:firstLine="420"/>
    </w:pPr>
  </w:style>
  <w:style w:type="character" w:customStyle="1" w:styleId="red">
    <w:name w:val="red"/>
    <w:basedOn w:val="a1"/>
    <w:qFormat/>
    <w:rsid w:val="00D57722"/>
    <w:rPr>
      <w:color w:val="FF0000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TotalTime>159</TotalTime>
  <Pages>7</Pages>
  <Words>404</Words>
  <Characters>2307</Characters>
  <Application>Microsoft Office Word</Application>
  <DocSecurity>0</DocSecurity>
  <Lines>19</Lines>
  <Paragraphs>5</Paragraphs>
  <ScaleCrop>false</ScaleCrop>
  <Company>Microsoft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No:0000001</dc:title>
  <dc:creator>shy</dc:creator>
  <cp:lastModifiedBy>lenovo727</cp:lastModifiedBy>
  <cp:revision>40</cp:revision>
  <dcterms:created xsi:type="dcterms:W3CDTF">2017-01-11T09:18:00Z</dcterms:created>
  <dcterms:modified xsi:type="dcterms:W3CDTF">2020-08-03T02:54:00Z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  <property fmtid="{D5CDD505-2E9C-101B-9397-08002B2CF9AE}" pid="3" name="公文模板版本">
    <vt:lpwstr>20160721</vt:lpwstr>
  </property>
</Properties>
</file>