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浙江省生态环境保护条例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（2022年5月27日浙江省第十三届人民代表大会常务委员会第三十六次会议通过）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污染防治</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碳减排和生物多样性保护</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生态产品价值实现</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监督管理</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保护和改善生态环境，防治污染和其他公害，保障公众健康，维护生态安全，推进生态文明建设，高水平建设美丽浙江，促进经济社会可持续发展，根据《中华人民共和国环境保护法》和其他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本条例适用于本省行政区域内的生态环境保护及其监督管理活动。</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生态环境保护工作应当坚持中国共产党的领导，坚持人与自然和谐共生、绿水青山就是金山银山、山水林田湖草沙是生命共同体的理念，坚持保护优先、预防为主、综合治理、公众参与、损害担责的原则。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各级人民政府应当对本行政区域内的生态环境质量负责，将生态环境保护工作纳入国民经济和社会发展规划，建立健全生态环境保护机制，加大对生态环境保护的财政投入，持续改善生态环境质量。</w:t>
      </w:r>
    </w:p>
    <w:p>
      <w:pPr>
        <w:spacing w:line="240" w:lineRule="auto"/>
        <w:ind w:firstLine="640"/>
        <w:jc w:val="both"/>
      </w:pPr>
      <w:r>
        <w:rPr>
          <w:rFonts w:ascii="仿宋_GB2312" w:eastAsia="仿宋_GB2312" w:hAnsi="仿宋_GB2312" w:cs="仿宋_GB2312"/>
          <w:sz w:val="32"/>
        </w:rPr>
        <w:t>省、设区的市、县（市、区）应当建立生态环境保护协调机制，加强对本行政区域内生态环境保护重大问题的统筹协调。</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县级以上人民政府生态环境主管部门对本行政区域内的生态环境保护工作实施统一监督管理。</w:t>
      </w:r>
    </w:p>
    <w:p>
      <w:pPr>
        <w:spacing w:line="240" w:lineRule="auto"/>
        <w:ind w:firstLine="640"/>
        <w:jc w:val="both"/>
      </w:pPr>
      <w:r>
        <w:rPr>
          <w:rFonts w:ascii="仿宋_GB2312" w:eastAsia="仿宋_GB2312" w:hAnsi="仿宋_GB2312" w:cs="仿宋_GB2312"/>
          <w:sz w:val="32"/>
        </w:rPr>
        <w:t>县级以上人民政府其他有关部门和自然保护地管理机构依照有关法律、法规和职责分工，做好生态环境保护及其监督管理相关工作。</w:t>
      </w:r>
    </w:p>
    <w:p>
      <w:pPr>
        <w:spacing w:line="240" w:lineRule="auto"/>
        <w:ind w:firstLine="640"/>
        <w:jc w:val="both"/>
      </w:pPr>
      <w:r>
        <w:rPr>
          <w:rFonts w:ascii="仿宋_GB2312" w:eastAsia="仿宋_GB2312" w:hAnsi="仿宋_GB2312" w:cs="仿宋_GB2312"/>
          <w:sz w:val="32"/>
        </w:rPr>
        <w:t>生态环境主管部门会同同级有关部门建立健全生态环境保护协作机制，共同做好生态环境保护工作。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乡镇人民政府、街道办事处应当加强本辖区生态环境保护工作，明确相应机构，配备必要人员，建立并实行网格管理人员生态环境保护日常巡查制度，及时发现和制止生态环境违法行为，并向生态环境主管部门或者其他负有生态环境保护监督管理职责的部门报告。</w:t>
      </w:r>
    </w:p>
    <w:p>
      <w:pPr>
        <w:spacing w:line="240" w:lineRule="auto"/>
        <w:ind w:firstLine="640"/>
        <w:jc w:val="both"/>
      </w:pPr>
      <w:r>
        <w:rPr>
          <w:rFonts w:ascii="仿宋_GB2312" w:eastAsia="仿宋_GB2312" w:hAnsi="仿宋_GB2312" w:cs="仿宋_GB2312"/>
          <w:sz w:val="32"/>
        </w:rPr>
        <w:t>村（居）民委员会应当协助做好生态环境保护工作。鼓励将生态环境保护的相关内容纳入村规民约、居民公约、业主公约。</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开发区（园区）管理机构应当编制区内环境基础设施规划，组织建设与开发区（园区）发展相适应的污水集中收集处理、固体废物收集贮存转运等配套环境基础设施，建立环境基础设施的运行、维护制度，指导、监督区内企业依法排放和处置污染物。</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企业事业单位和其他生产经营者应当落实生态环境保护主体责任，建立健全生态环境保护管理制度，采取生态环境保护措施，保障生态环境保护资金、物资、技术的投入，加强对从业人员生态环境保护法律法规和生态环境保护知识的培训，定期开展生态环境风险隐患排查，增强生态环境突发事件防范和应急处置能力。</w:t>
      </w:r>
    </w:p>
    <w:p>
      <w:pPr>
        <w:spacing w:line="240" w:lineRule="auto"/>
        <w:ind w:firstLine="640"/>
        <w:jc w:val="both"/>
      </w:pPr>
      <w:r>
        <w:rPr>
          <w:rFonts w:ascii="仿宋_GB2312" w:eastAsia="仿宋_GB2312" w:hAnsi="仿宋_GB2312" w:cs="仿宋_GB2312"/>
          <w:sz w:val="32"/>
        </w:rPr>
        <w:t>行业协会应当加强行业自律，建立健全行业规范，推动行业诚信建设，宣传、普及生态环境保护法律法规和生态环境保护知识，引导和督促会员单位依法生产经营，防止、减少环境污染和生态破坏。</w:t>
      </w:r>
    </w:p>
    <w:p>
      <w:pPr>
        <w:spacing w:line="240" w:lineRule="auto"/>
        <w:ind w:firstLine="640"/>
        <w:jc w:val="both"/>
      </w:pPr>
      <w:r>
        <w:rPr>
          <w:rFonts w:ascii="仿宋_GB2312" w:eastAsia="仿宋_GB2312" w:hAnsi="仿宋_GB2312" w:cs="仿宋_GB2312"/>
          <w:sz w:val="32"/>
        </w:rPr>
        <w:t>公民应当遵守生态环境保护法律法规，增强生态环境保护意识，采取简约适度、绿色低碳的生活方式，减少日常生活对生态环境造成的损害。</w:t>
      </w:r>
    </w:p>
    <w:p>
      <w:pPr>
        <w:spacing w:line="240" w:lineRule="auto"/>
        <w:ind w:firstLine="640"/>
        <w:jc w:val="both"/>
      </w:pPr>
      <w:r>
        <w:rPr>
          <w:rFonts w:ascii="仿宋_GB2312" w:eastAsia="仿宋_GB2312" w:hAnsi="仿宋_GB2312" w:cs="仿宋_GB2312"/>
          <w:sz w:val="32"/>
        </w:rPr>
        <w:t>鼓励社会资本投入生态环境保护事业，鼓励和支持社会组织、志愿者依法从事生态环境保护公益活动。</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县级以上人民政府应当采取措施，支持环境科学技术研究和创新，促进科技成果转化和利用。</w:t>
      </w:r>
    </w:p>
    <w:p>
      <w:pPr>
        <w:spacing w:line="240" w:lineRule="auto"/>
        <w:ind w:firstLine="640"/>
        <w:jc w:val="both"/>
      </w:pPr>
      <w:r>
        <w:rPr>
          <w:rFonts w:ascii="仿宋_GB2312" w:eastAsia="仿宋_GB2312" w:hAnsi="仿宋_GB2312" w:cs="仿宋_GB2312"/>
          <w:sz w:val="32"/>
        </w:rPr>
        <w:t>省科技主管部门应当会同省生态环境主管部门编制生态环境保护领域重点科技项目清单，加强生态环境保护技术攻关和技术转化、应用、集成、示范，为生态环境保护提供技术支撑。</w:t>
      </w:r>
    </w:p>
    <w:p>
      <w:pPr>
        <w:spacing w:line="240" w:lineRule="auto"/>
        <w:ind w:firstLine="640"/>
        <w:jc w:val="both"/>
      </w:pPr>
      <w:r>
        <w:rPr>
          <w:rFonts w:ascii="仿宋_GB2312" w:eastAsia="仿宋_GB2312" w:hAnsi="仿宋_GB2312" w:cs="仿宋_GB2312"/>
          <w:sz w:val="32"/>
        </w:rPr>
        <w:t>鼓励企业开展清洁生产的科学研究和技术开发，推广应用节能减排新技术、新工艺、新产品，推动绿色低碳发展。</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各级人民政府和有关部门应当加强生态环境保护宣传教育，推动全社会形成简约适度、绿色低碳、文明健康的生产生活方式和消费方式。</w:t>
      </w:r>
    </w:p>
    <w:p>
      <w:pPr>
        <w:spacing w:line="240" w:lineRule="auto"/>
        <w:ind w:firstLine="640"/>
        <w:jc w:val="both"/>
      </w:pPr>
      <w:r>
        <w:rPr>
          <w:rFonts w:ascii="仿宋_GB2312" w:eastAsia="仿宋_GB2312" w:hAnsi="仿宋_GB2312" w:cs="仿宋_GB2312"/>
          <w:sz w:val="32"/>
        </w:rPr>
        <w:t>教育主管部门、学校应当将生态环境保护知识纳入学校教育内容，提高学生生态环境保护意识。干部教育培训机构应当将生态文明建设和生态环境保护法律法规等纳入教育培训内容，增强国家工作人员生态环境保护意识。</w:t>
      </w:r>
    </w:p>
    <w:p>
      <w:pPr>
        <w:spacing w:line="240" w:lineRule="auto"/>
        <w:ind w:firstLine="640"/>
        <w:jc w:val="both"/>
      </w:pPr>
      <w:r>
        <w:rPr>
          <w:rFonts w:ascii="仿宋_GB2312" w:eastAsia="仿宋_GB2312" w:hAnsi="仿宋_GB2312" w:cs="仿宋_GB2312"/>
          <w:sz w:val="32"/>
        </w:rPr>
        <w:t>新闻媒体应当开展生态环境保护法律法规和生态环境保护知识的宣传，加强对生态环境违法行为的舆论监督。</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污染防治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生态环境主管部门应当会同同级有关部门依法编制本行政区域生态环境保护规划，报本级人民政府批准后公布实施。生态环境保护规划不得擅自变更或者调整，确需变更或者调整的，应当按照法定程序报批。</w:t>
      </w:r>
    </w:p>
    <w:p>
      <w:pPr>
        <w:spacing w:line="240" w:lineRule="auto"/>
        <w:ind w:firstLine="640"/>
        <w:jc w:val="both"/>
      </w:pPr>
      <w:r>
        <w:rPr>
          <w:rFonts w:ascii="仿宋_GB2312" w:eastAsia="仿宋_GB2312" w:hAnsi="仿宋_GB2312" w:cs="仿宋_GB2312"/>
          <w:sz w:val="32"/>
        </w:rPr>
        <w:t>生态环境主管部门根据生态环境保护需要，会同同级有关部门依据上级和本级生态环境保护规划编制相关生态环境保护专项规划；跨行政区域的专项规划，由共同上一级生态环境主管部门会同同级有关部门编制。</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生态环境主管部门应当会同同级有关部门，根据生态环境保护规划、生态环境保护专项规划拟定生态环境保护实施计划，分年度确定生态环境保护的目标、任务，报本级人民政府批准后公布实施。</w:t>
      </w:r>
    </w:p>
    <w:p>
      <w:pPr>
        <w:spacing w:line="240" w:lineRule="auto"/>
        <w:ind w:firstLine="640"/>
        <w:jc w:val="both"/>
      </w:pPr>
      <w:r>
        <w:rPr>
          <w:rFonts w:ascii="仿宋_GB2312" w:eastAsia="仿宋_GB2312" w:hAnsi="仿宋_GB2312" w:cs="仿宋_GB2312"/>
          <w:sz w:val="32"/>
        </w:rPr>
        <w:t>县级以上人民政府应当对生态环境保护规划、计划的执行情况进行督查、评估并公布结果；发现违反规划、计划的，应当及时督促纠正。</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省生态环境主管部门应当会同省有关部门，根据国家和省国土空间总体规划、生态环境质量标准，编制水环境、近岸海域环境等功能区划，报省人民政府批准后公布实施。</w:t>
      </w:r>
    </w:p>
    <w:p>
      <w:pPr>
        <w:spacing w:line="240" w:lineRule="auto"/>
        <w:ind w:firstLine="640"/>
        <w:jc w:val="both"/>
      </w:pPr>
      <w:r>
        <w:rPr>
          <w:rFonts w:ascii="仿宋_GB2312" w:eastAsia="仿宋_GB2312" w:hAnsi="仿宋_GB2312" w:cs="仿宋_GB2312"/>
          <w:sz w:val="32"/>
        </w:rPr>
        <w:t>县级以上人民政府根据国家声环境质量标准和国土空间规划以及用地现状，划定本行政区域各类声环境质量标准的适用区域。</w:t>
      </w:r>
    </w:p>
    <w:p>
      <w:pPr>
        <w:spacing w:line="240" w:lineRule="auto"/>
        <w:ind w:firstLine="640"/>
        <w:jc w:val="both"/>
      </w:pPr>
      <w:r>
        <w:rPr>
          <w:rFonts w:ascii="仿宋_GB2312" w:eastAsia="仿宋_GB2312" w:hAnsi="仿宋_GB2312" w:cs="仿宋_GB2312"/>
          <w:sz w:val="32"/>
        </w:rPr>
        <w:t>对生态环境质量达不到相关环境功能区划要求的地区，以及环境污染严重、环境违法情况突出的地区，县级以上人民政府应当采取产业结构调整、区域生态整治等措施实施综合治理。</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县级以上人民政府应当按照国家和省确定的生态保护红线、环境质量底线、资源利用上线，制定生态环境准入清单，落实生态环境分区管控要求，并按照国家和省有关规定定期评估调整、动态更新。</w:t>
      </w:r>
    </w:p>
    <w:p>
      <w:pPr>
        <w:spacing w:line="240" w:lineRule="auto"/>
        <w:ind w:firstLine="640"/>
        <w:jc w:val="both"/>
      </w:pPr>
      <w:r>
        <w:rPr>
          <w:rFonts w:ascii="仿宋_GB2312" w:eastAsia="仿宋_GB2312" w:hAnsi="仿宋_GB2312" w:cs="仿宋_GB2312"/>
          <w:sz w:val="32"/>
        </w:rPr>
        <w:t>县级以上人民政府及其有关部门应当将生态保护红线、环境质量底线、资源利用上线和生态环境准入清单作为政策制定、规划编制、区域开发建设和监督管理的重要依据。</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省人民政府应当根据生态环境保护需要，依法制定地方环境质量标准、污染物排放标准和生态环境风险管控标准。制定、修订有关地方环境质量标准、污染物排放标准和生态环境风险管控标准，应当广泛听取各方面意见，设置合理过渡期。</w:t>
      </w:r>
    </w:p>
    <w:p>
      <w:pPr>
        <w:spacing w:line="240" w:lineRule="auto"/>
        <w:ind w:firstLine="640"/>
        <w:jc w:val="both"/>
      </w:pPr>
      <w:r>
        <w:rPr>
          <w:rFonts w:ascii="仿宋_GB2312" w:eastAsia="仿宋_GB2312" w:hAnsi="仿宋_GB2312" w:cs="仿宋_GB2312"/>
          <w:sz w:val="32"/>
        </w:rPr>
        <w:t>省生态环境主管部门应当根据生态环境保护需要，及时研究提出、组织起草地方环境质量标准、污染物排放标准和生态环境风险管控标准。</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省、设区的市人民政府及其有关部门对其组织编制的综合性规划和专项规划，应当依照《中华人民共和国环境影响评价法》《规划环境影响评价条例》的规定进行环境影响评价。</w:t>
      </w:r>
    </w:p>
    <w:p>
      <w:pPr>
        <w:spacing w:line="240" w:lineRule="auto"/>
        <w:ind w:firstLine="640"/>
        <w:jc w:val="both"/>
      </w:pPr>
      <w:r>
        <w:rPr>
          <w:rFonts w:ascii="仿宋_GB2312" w:eastAsia="仿宋_GB2312" w:hAnsi="仿宋_GB2312" w:cs="仿宋_GB2312"/>
          <w:sz w:val="32"/>
        </w:rPr>
        <w:t>县（市、区）人民政府及其有关部门对其组织编制的综合性规划和专项规划，可以参照《中华人民共和国环境影响评价法》《规划环境影响评价条例》有关规定组织开展环境影响评价。</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建立规划环境影响评价与建设项目环境影响评价联动机制。开发区（园区）、特色小镇等特定区域，已通过规划环境影响评价的，建设项目可以按照国家和省有关规定简化环境影响评价程序。</w:t>
      </w:r>
    </w:p>
    <w:p>
      <w:pPr>
        <w:spacing w:line="240" w:lineRule="auto"/>
        <w:ind w:firstLine="640"/>
        <w:jc w:val="both"/>
      </w:pPr>
      <w:r>
        <w:rPr>
          <w:rFonts w:ascii="仿宋_GB2312" w:eastAsia="仿宋_GB2312" w:hAnsi="仿宋_GB2312" w:cs="仿宋_GB2312"/>
          <w:sz w:val="32"/>
        </w:rPr>
        <w:t>建设项目含入河（海）排污口设置的，入河（海）排污口设置许可可以与建设项目环境影响评价文件审批同步办理。</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依法应当编制环境影响报告书、环境影响报告表的建设项目竣工后，建设单位应当按照国家和省有关规定，对配套建设的环境保护设施组织验收。</w:t>
      </w:r>
    </w:p>
    <w:p>
      <w:pPr>
        <w:spacing w:line="240" w:lineRule="auto"/>
        <w:ind w:firstLine="640"/>
        <w:jc w:val="both"/>
      </w:pPr>
      <w:r>
        <w:rPr>
          <w:rFonts w:ascii="仿宋_GB2312" w:eastAsia="仿宋_GB2312" w:hAnsi="仿宋_GB2312" w:cs="仿宋_GB2312"/>
          <w:sz w:val="32"/>
        </w:rPr>
        <w:t>建设项目的环境保护设施已建成并有下列情形之一的，建设单位可以先行验收：</w:t>
      </w:r>
    </w:p>
    <w:p>
      <w:pPr>
        <w:spacing w:line="240" w:lineRule="auto"/>
        <w:ind w:firstLine="640"/>
        <w:jc w:val="both"/>
      </w:pPr>
      <w:r>
        <w:rPr>
          <w:rFonts w:ascii="仿宋_GB2312" w:eastAsia="仿宋_GB2312" w:hAnsi="仿宋_GB2312" w:cs="仿宋_GB2312"/>
          <w:sz w:val="32"/>
        </w:rPr>
        <w:t>（一）建设项目未达到环境影响评价批准文件确定的生产规模，但符合国家和省产业政策规定的最低产能要求的；</w:t>
      </w:r>
    </w:p>
    <w:p>
      <w:pPr>
        <w:spacing w:line="240" w:lineRule="auto"/>
        <w:ind w:firstLine="640"/>
        <w:jc w:val="both"/>
      </w:pPr>
      <w:r>
        <w:rPr>
          <w:rFonts w:ascii="仿宋_GB2312" w:eastAsia="仿宋_GB2312" w:hAnsi="仿宋_GB2312" w:cs="仿宋_GB2312"/>
          <w:sz w:val="32"/>
        </w:rPr>
        <w:t>（二）建设项目符合环境保护设施竣工验收的其他条件，但生产负荷无法达到国家环境保护设施竣工验收技术规范规定要求的。</w:t>
      </w:r>
    </w:p>
    <w:p>
      <w:pPr>
        <w:spacing w:line="240" w:lineRule="auto"/>
        <w:ind w:firstLine="640"/>
        <w:jc w:val="both"/>
      </w:pPr>
      <w:r>
        <w:rPr>
          <w:rFonts w:ascii="仿宋_GB2312" w:eastAsia="仿宋_GB2312" w:hAnsi="仿宋_GB2312" w:cs="仿宋_GB2312"/>
          <w:sz w:val="32"/>
        </w:rPr>
        <w:t>前款建设项目的生产规模达到环境影响评价批准文件确定的规模、生产负荷达到国家环境保护设施竣工验收技术规范规定要求的，建设单位应当重新对环境保护设施进行验收。</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推行环境污染防治协议制度。有下列情形之一的，设区的市、县（市、区）人民政府或者其指定的部门可以与排污单位签订环境污染防治协议，明确相应的权利和义务：</w:t>
      </w:r>
    </w:p>
    <w:p>
      <w:pPr>
        <w:spacing w:line="240" w:lineRule="auto"/>
        <w:ind w:firstLine="640"/>
        <w:jc w:val="both"/>
      </w:pPr>
      <w:r>
        <w:rPr>
          <w:rFonts w:ascii="仿宋_GB2312" w:eastAsia="仿宋_GB2312" w:hAnsi="仿宋_GB2312" w:cs="仿宋_GB2312"/>
          <w:sz w:val="32"/>
        </w:rPr>
        <w:t>（一）根据生态环境治理要求，排污单位主动提出执行严于法律、法规和国家、省有关标准规定的排放要求的；</w:t>
      </w:r>
    </w:p>
    <w:p>
      <w:pPr>
        <w:spacing w:line="240" w:lineRule="auto"/>
        <w:ind w:firstLine="640"/>
        <w:jc w:val="both"/>
      </w:pPr>
      <w:r>
        <w:rPr>
          <w:rFonts w:ascii="仿宋_GB2312" w:eastAsia="仿宋_GB2312" w:hAnsi="仿宋_GB2312" w:cs="仿宋_GB2312"/>
          <w:sz w:val="32"/>
        </w:rPr>
        <w:t>（二）根据自身技术改进情况和污染防治水平，排污单位主动提出削减排放要求的；</w:t>
      </w:r>
    </w:p>
    <w:p>
      <w:pPr>
        <w:spacing w:line="240" w:lineRule="auto"/>
        <w:ind w:firstLine="640"/>
        <w:jc w:val="both"/>
      </w:pPr>
      <w:r>
        <w:rPr>
          <w:rFonts w:ascii="仿宋_GB2312" w:eastAsia="仿宋_GB2312" w:hAnsi="仿宋_GB2312" w:cs="仿宋_GB2312"/>
          <w:sz w:val="32"/>
        </w:rPr>
        <w:t>（三）排污单位排放国家、省尚未制定排放标准的污染物的。</w:t>
      </w:r>
    </w:p>
    <w:p>
      <w:pPr>
        <w:spacing w:line="240" w:lineRule="auto"/>
        <w:ind w:firstLine="640"/>
        <w:jc w:val="both"/>
      </w:pPr>
      <w:r>
        <w:rPr>
          <w:rFonts w:ascii="仿宋_GB2312" w:eastAsia="仿宋_GB2312" w:hAnsi="仿宋_GB2312" w:cs="仿宋_GB2312"/>
          <w:sz w:val="32"/>
        </w:rPr>
        <w:t>环境污染防治协议应当明确污染物减排目标、措施、期限、奖励和支持措施等内容。环境污染防治协议的示范文本由省生态环境主管部门制定。</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建立和实施全省统一的排污权有偿使用和交易制度，加强对排污权交易全过程监督管理。</w:t>
      </w:r>
    </w:p>
    <w:p>
      <w:pPr>
        <w:spacing w:line="240" w:lineRule="auto"/>
        <w:ind w:firstLine="640"/>
        <w:jc w:val="both"/>
      </w:pPr>
      <w:r>
        <w:rPr>
          <w:rFonts w:ascii="仿宋_GB2312" w:eastAsia="仿宋_GB2312" w:hAnsi="仿宋_GB2312" w:cs="仿宋_GB2312"/>
          <w:sz w:val="32"/>
        </w:rPr>
        <w:t>省生态环境主管部门应当依托省公共数据平台建立全省统一的排污权交易系统，为排污权交易提供信息发布、供需对接等服务。排污权交易应当通过全省统一的排污权交易系统办理。</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重点排污单位应当依照法律、行政法规规定安装污染物排放自动监测设备，并保证自动监测设备正常运行。</w:t>
      </w:r>
    </w:p>
    <w:p>
      <w:pPr>
        <w:spacing w:line="240" w:lineRule="auto"/>
        <w:ind w:firstLine="640"/>
        <w:jc w:val="both"/>
      </w:pPr>
      <w:r>
        <w:rPr>
          <w:rFonts w:ascii="仿宋_GB2312" w:eastAsia="仿宋_GB2312" w:hAnsi="仿宋_GB2312" w:cs="仿宋_GB2312"/>
          <w:sz w:val="32"/>
        </w:rPr>
        <w:t>污染物排放自动监测设备属于强制检定范围的，重点排污单位应当按照国家和省有关规定进行计量检定；不属于强制检定范围的，由生态环境主管部门委托计量检定机构进行计量检定或者校准。</w:t>
      </w:r>
    </w:p>
    <w:p>
      <w:pPr>
        <w:spacing w:line="240" w:lineRule="auto"/>
        <w:ind w:firstLine="640"/>
        <w:jc w:val="both"/>
      </w:pPr>
      <w:r>
        <w:rPr>
          <w:rFonts w:ascii="仿宋_GB2312" w:eastAsia="仿宋_GB2312" w:hAnsi="仿宋_GB2312" w:cs="仿宋_GB2312"/>
          <w:sz w:val="32"/>
        </w:rPr>
        <w:t>有关污染物排放自动监测设备没有国家标准或者行业标准的，省生态环境主管部门应当会同省标准化主管部门制定相应地方标准。</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生态环境服务机构及其从业人员接受委托提供生态环境相关服务的，应当遵守相关法律、法规、标准、技术规范等规定，依法履行合同约定的义务，并对有关数据和结论的真实性、准确性负责。</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建筑物外墙采用反光材料的，应当符合国家和省有关规定和标准。住房城乡建设主管部门应当加强对建筑物外墙采用反光材料建设施工的监督管理。</w:t>
      </w:r>
    </w:p>
    <w:p>
      <w:pPr>
        <w:spacing w:line="240" w:lineRule="auto"/>
        <w:ind w:firstLine="640"/>
        <w:jc w:val="both"/>
      </w:pPr>
      <w:r>
        <w:rPr>
          <w:rFonts w:ascii="仿宋_GB2312" w:eastAsia="仿宋_GB2312" w:hAnsi="仿宋_GB2312" w:cs="仿宋_GB2312"/>
          <w:sz w:val="32"/>
        </w:rPr>
        <w:t>建筑物使用玻璃幕墙的，鼓励采用低反射率的反光材料。对使用玻璃幕墙的建设项目，城乡规划主管部门在会同有关部门审查规划设计方案时，应当综合考虑建筑物所在位置、对周边环境的影响等因素，提出审查意见。</w:t>
      </w:r>
    </w:p>
    <w:p>
      <w:pPr>
        <w:spacing w:line="240" w:lineRule="auto"/>
        <w:ind w:firstLine="640"/>
        <w:jc w:val="both"/>
      </w:pPr>
      <w:r>
        <w:rPr>
          <w:rFonts w:ascii="仿宋_GB2312" w:eastAsia="仿宋_GB2312" w:hAnsi="仿宋_GB2312" w:cs="仿宋_GB2312"/>
          <w:sz w:val="32"/>
        </w:rPr>
        <w:t>室外灯光广告、照明设备应当符合国家和省环境照明技术规范的要求，不得影响周围居民的正常生活。</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违反国家规定，造成生态环境损害的单位和个人，应当依法承担生态环境修复和损害赔偿责任。</w:t>
      </w:r>
    </w:p>
    <w:p>
      <w:pPr>
        <w:spacing w:line="240" w:lineRule="auto"/>
        <w:ind w:firstLine="640"/>
        <w:jc w:val="both"/>
      </w:pPr>
      <w:r>
        <w:rPr>
          <w:rFonts w:ascii="仿宋_GB2312" w:eastAsia="仿宋_GB2312" w:hAnsi="仿宋_GB2312" w:cs="仿宋_GB2312"/>
          <w:sz w:val="32"/>
        </w:rPr>
        <w:t>生态环境损害发生后，省、设区的市人民政府或者其指定的部门、机构应当根据国家规定组织开展生态环境损害调查、鉴定评估、责任认定、修复方案编制等工作。涉及公共利益的重大事项应当向社会公开，并邀请专家和利益相关的公民、法人、其他组织参与。</w:t>
      </w:r>
    </w:p>
    <w:p>
      <w:pPr>
        <w:spacing w:line="240" w:lineRule="auto"/>
        <w:ind w:firstLine="640"/>
        <w:jc w:val="both"/>
      </w:pPr>
      <w:r>
        <w:rPr>
          <w:rFonts w:ascii="仿宋_GB2312" w:eastAsia="仿宋_GB2312" w:hAnsi="仿宋_GB2312" w:cs="仿宋_GB2312"/>
          <w:sz w:val="32"/>
        </w:rPr>
        <w:t>生态环境损害事实清楚、责任认定无争议、损害结果较小的，可以通过专家意见、专家论证会等方式形成专家评估意见，确定损害事实、责任认定、修复和赔偿标准等。</w:t>
      </w:r>
    </w:p>
    <w:p>
      <w:pPr>
        <w:spacing w:line="240" w:lineRule="auto"/>
        <w:ind w:firstLine="640"/>
        <w:jc w:val="both"/>
      </w:pPr>
      <w:r>
        <w:rPr>
          <w:rFonts w:ascii="仿宋_GB2312" w:eastAsia="仿宋_GB2312" w:hAnsi="仿宋_GB2312" w:cs="仿宋_GB2312"/>
          <w:sz w:val="32"/>
        </w:rPr>
        <w:t>省、设区的市人民政府或者其指定的部门、机构应当根据生态环境损害鉴定评估报告或者专家评估意见，就修复启动时间和期限、责任承担方式等与侵权人进行磋商。侵权人不同意磋商或者经磋商未达成一致的，省、设区的市人民政府或者其指定的部门、机构应当及时提起生态环境损害赔偿诉讼。</w:t>
      </w:r>
    </w:p>
    <w:p>
      <w:pPr>
        <w:spacing w:line="240" w:lineRule="auto"/>
        <w:ind w:firstLine="640"/>
        <w:jc w:val="both"/>
      </w:pPr>
      <w:r>
        <w:rPr>
          <w:rFonts w:ascii="仿宋_GB2312" w:eastAsia="仿宋_GB2312" w:hAnsi="仿宋_GB2312" w:cs="仿宋_GB2312"/>
          <w:sz w:val="32"/>
        </w:rPr>
        <w:t>省人民政府应当根据国家有关规定，组织制定生态环境损害赔偿具体办法，明确生态环境损害赔偿评估程序、赔偿标准、赔偿金使用管理、修复情况评估等内容。</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生态环境损害的责任人无责任能力或者无法确定的，由设区的市、县（市、区）人民政府对能够修复的受损生态环境先行修复。</w:t>
      </w:r>
    </w:p>
    <w:p>
      <w:pPr>
        <w:spacing w:line="240" w:lineRule="auto"/>
        <w:ind w:firstLine="640"/>
        <w:jc w:val="both"/>
      </w:pPr>
      <w:r>
        <w:rPr>
          <w:rFonts w:ascii="仿宋_GB2312" w:eastAsia="仿宋_GB2312" w:hAnsi="仿宋_GB2312" w:cs="仿宋_GB2312"/>
          <w:sz w:val="32"/>
        </w:rPr>
        <w:t>县级以上人民政府负责组织实施重大生态环境修复工程，统筹推进湿地、河湖、近岸海域、山林、矿山等生态环境修复工作。</w:t>
      </w:r>
    </w:p>
    <w:p>
      <w:pPr>
        <w:spacing w:line="240" w:lineRule="auto"/>
        <w:ind w:firstLine="640"/>
        <w:jc w:val="both"/>
      </w:pPr>
      <w:r>
        <w:rPr>
          <w:rFonts w:ascii="仿宋_GB2312" w:eastAsia="仿宋_GB2312" w:hAnsi="仿宋_GB2312" w:cs="仿宋_GB2312"/>
          <w:sz w:val="32"/>
        </w:rPr>
        <w:t>鼓励和支持社会资本参与生态环境修复。</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省人民政府应当会同省检察机关建立生态环境损害赔偿制度与生态环境公益诉讼制度的衔接协调机制。负有生态环境保护监督管理职能的部门与检察机关应当加强沟通协调，完善信息共享、线索移送、专业咨询、支持起诉等协作机制。</w:t>
      </w:r>
    </w:p>
    <w:p>
      <w:pPr>
        <w:spacing w:line="240" w:lineRule="auto"/>
        <w:ind w:firstLine="640"/>
        <w:jc w:val="both"/>
      </w:pPr>
      <w:r>
        <w:rPr>
          <w:rFonts w:ascii="仿宋_GB2312" w:eastAsia="仿宋_GB2312" w:hAnsi="仿宋_GB2312" w:cs="仿宋_GB2312"/>
          <w:sz w:val="32"/>
        </w:rPr>
        <w:t>鼓励和支持符合法律规定的社会组织依法提起生态环境公益诉讼。</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鼓励和支持从事铅蓄电池制造、皮革及其制品生产、化学原料及化学制品制造等具有高环境风险的企业投保环境污染责任保险。国家规定应当投保环境污染强制责任保险的，按照国家规定执行。</w:t>
      </w:r>
    </w:p>
    <w:p>
      <w:pPr>
        <w:spacing w:line="240" w:lineRule="auto"/>
        <w:ind w:firstLine="640"/>
        <w:jc w:val="both"/>
      </w:pPr>
      <w:r>
        <w:rPr>
          <w:rFonts w:ascii="仿宋_GB2312" w:eastAsia="仿宋_GB2312" w:hAnsi="仿宋_GB2312" w:cs="仿宋_GB2312"/>
          <w:sz w:val="32"/>
        </w:rPr>
        <w:t>鼓励和支持保险企业开展环境污染责任保险业务，完善环境污染责任保险产品体系。</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建立健全地上地下、陆海统筹的生态环境治理制度，坚持综合治理、系统治理、源头治理，协同推进大气、水、土壤、海洋、固体废物、噪声、放射性污染防治。</w:t>
      </w:r>
    </w:p>
    <w:p>
      <w:pPr>
        <w:spacing w:line="240" w:lineRule="auto"/>
        <w:ind w:firstLine="640"/>
        <w:jc w:val="both"/>
      </w:pPr>
      <w:r>
        <w:rPr>
          <w:rFonts w:ascii="仿宋_GB2312" w:eastAsia="仿宋_GB2312" w:hAnsi="仿宋_GB2312" w:cs="仿宋_GB2312"/>
          <w:sz w:val="32"/>
        </w:rPr>
        <w:t>县级以上人民政府应当采取措施全面提升生态环境基础设施水平，建立健全污染防治联防联控机制，加强多污染物协同控制和区域协同治理，控制大气污染物和温室气体排放，实施水土环境风险协同防控，完善河湖和海洋管理保护机制，落实固体废物收集、转移、处置等全过程监督管理制度，加强塑料污染全链条防治和噪声污染治理，严密防控生态环境风险。</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相邻的设区的市人民政府应当加强沟通协调，建立生态环境保护协作机制，共同处理重大生态环境保护问题，协商解决跨界环境污染纠纷，共同开展联合执法、预警应急等生态环境保护工作；建设可能对相邻地区生态环境产生重大影响的项目，应当及时向相邻地区通报有关信息，进行会商。</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省人民政府应当与周边省、直辖市建立生态环境保护协作机制，推动构建长江三角洲区域一体化的生态环境监测网络、生态环境信息网络和生态环境应急预警体系，推动建立统一的生态环境标准和跨区域的排污权交易制度、生态保护补偿机制、生态环境保护联合执法机制，联合开展污染治理，推进区域环境污染协同防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碳减排和生物多样性保护</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省、设区的市人民政府应当建立应对气候变化工作机制，根据国家有关规定制定碳达峰碳中和实施方案，建立健全碳达峰碳中和工作推进机制，推动能源消费总量和强度控制向碳排放总量和强度控制转变，逐步将碳达峰碳中和相关工作纳入生态环境保护考核体系。</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县级以上人民政府应当建立健全减少污染排放、降低温室气体排放的激励约束机制，推动产业结构、能源结构优化调整，推进工业、能源、建筑、交通、农业、居民生活等重点领域绿色低碳转型，加快建立以低碳为特征的产业体系和能源体系，有效控制温室气体排放。</w:t>
      </w:r>
    </w:p>
    <w:p>
      <w:pPr>
        <w:spacing w:line="240" w:lineRule="auto"/>
        <w:ind w:firstLine="640"/>
        <w:jc w:val="both"/>
      </w:pPr>
      <w:r>
        <w:rPr>
          <w:rFonts w:ascii="仿宋_GB2312" w:eastAsia="仿宋_GB2312" w:hAnsi="仿宋_GB2312" w:cs="仿宋_GB2312"/>
          <w:sz w:val="32"/>
        </w:rPr>
        <w:t>发展改革部门会同同级有关部门执行国家产业结构调整指导目录时，应当结合本行政区域生态环境质量状况和主要污染物控制目标，依法推进落后生产工艺装备与落后产品的淘汰工作。</w:t>
      </w:r>
    </w:p>
    <w:p>
      <w:pPr>
        <w:spacing w:line="240" w:lineRule="auto"/>
        <w:ind w:firstLine="640"/>
        <w:jc w:val="both"/>
      </w:pPr>
      <w:r>
        <w:rPr>
          <w:rFonts w:ascii="仿宋_GB2312" w:eastAsia="仿宋_GB2312" w:hAnsi="仿宋_GB2312" w:cs="仿宋_GB2312"/>
          <w:sz w:val="32"/>
        </w:rPr>
        <w:t>国家机关、事业单位以及企业等生产经营者应当加强温室气体排放管理，合理控制温室气体排放量。新建、改建、扩建钢铁、火电、建材、化工、石化、有色金属、造纸、印染、化纤等建设项目，应当按照国家和省有关规定将温室气体排放纳入环境影响评价范围。</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省价格主管部门应当会同省有关部门依法完善差别价格、阶梯价格政策，引导节约和合理使用水、电、燃气等资源和能源，减少碳排放。</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省生态环境主管部门应当根据国家有关规定向温室气体重点排放单位分配碳排放配额，并加强对碳排放配额清缴情况的监督管理。</w:t>
      </w:r>
    </w:p>
    <w:p>
      <w:pPr>
        <w:spacing w:line="240" w:lineRule="auto"/>
        <w:ind w:firstLine="640"/>
        <w:jc w:val="both"/>
      </w:pPr>
      <w:r>
        <w:rPr>
          <w:rFonts w:ascii="仿宋_GB2312" w:eastAsia="仿宋_GB2312" w:hAnsi="仿宋_GB2312" w:cs="仿宋_GB2312"/>
          <w:sz w:val="32"/>
        </w:rPr>
        <w:t>温室气体重点排放单位应当控制温室气体排放，及时向省生态环境主管部门报告温室气体排放情况、清缴上年度碳排放配额，并对数据的真实性、准确性和完整性负责。温室气体重点排放单位名录，由省生态环境主管部门确定并向社会公布。</w:t>
      </w:r>
    </w:p>
    <w:p>
      <w:pPr>
        <w:spacing w:line="240" w:lineRule="auto"/>
        <w:ind w:firstLine="640"/>
        <w:jc w:val="both"/>
      </w:pPr>
      <w:r>
        <w:rPr>
          <w:rFonts w:ascii="仿宋_GB2312" w:eastAsia="仿宋_GB2312" w:hAnsi="仿宋_GB2312" w:cs="仿宋_GB2312"/>
          <w:sz w:val="32"/>
        </w:rPr>
        <w:t>碳排放配额的交易，按照国家有关规定执行。</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县级以上人民政府和有关单位应当支持绿色金融发展，推进绿色金融产品和服务创新，完善用能权、排污权、碳排放权等环境权益质押融资机制。</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县级以上人民政府应当完善生物多样性保护体系，加强野生生物物种及其遗传资源保护，对珍稀濒危物种实施抢救性保护，对本省特有物种实施重点保护。</w:t>
      </w:r>
    </w:p>
    <w:p>
      <w:pPr>
        <w:spacing w:line="240" w:lineRule="auto"/>
        <w:ind w:firstLine="640"/>
        <w:jc w:val="both"/>
      </w:pPr>
      <w:r>
        <w:rPr>
          <w:rFonts w:ascii="仿宋_GB2312" w:eastAsia="仿宋_GB2312" w:hAnsi="仿宋_GB2312" w:cs="仿宋_GB2312"/>
          <w:sz w:val="32"/>
        </w:rPr>
        <w:t>生态环境、自然资源、卫生健康、农业农村、林业、水利、海关、科技等部门和相关自然保护地管理机构，应当按照各自职责做好生物多样性保护相关工作，并加强野生生物和外来物种疫源疫病调查、监测、评估与防控。</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县级以上人民政府应当建立健全防范应对外来物种入侵制度，组织开展外来入侵物种普查、监测与生态影响评价，对造成重大生态危害的外来入侵物种开展治理和清除。</w:t>
      </w:r>
    </w:p>
    <w:p>
      <w:pPr>
        <w:spacing w:line="240" w:lineRule="auto"/>
        <w:ind w:firstLine="640"/>
        <w:jc w:val="both"/>
      </w:pPr>
      <w:r>
        <w:rPr>
          <w:rFonts w:ascii="仿宋_GB2312" w:eastAsia="仿宋_GB2312" w:hAnsi="仿宋_GB2312" w:cs="仿宋_GB2312"/>
          <w:sz w:val="32"/>
        </w:rPr>
        <w:t>未经批准，不得擅自引进、释放或者丢弃外来物种。</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省人民政府应当组织建立生物遗传资源数据库和全省生物遗传资源信息管理平台，健全生物遗传资源获取与惠益分享制度，规范生物遗传资源采集、保存、交换、合作研究和开发利用活动，加强对生物遗传资源保护、获取的监督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生态产品价值实现</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省自然资源主管部门应当会同省林业、水利等部门，健全自然资源确权登记制度，推进统一确权登记，明确自然资源资产产权主体。</w:t>
      </w:r>
    </w:p>
    <w:p>
      <w:pPr>
        <w:spacing w:line="240" w:lineRule="auto"/>
        <w:ind w:firstLine="640"/>
        <w:jc w:val="both"/>
      </w:pPr>
      <w:r>
        <w:rPr>
          <w:rFonts w:ascii="仿宋_GB2312" w:eastAsia="仿宋_GB2312" w:hAnsi="仿宋_GB2312" w:cs="仿宋_GB2312"/>
          <w:sz w:val="32"/>
        </w:rPr>
        <w:t>省发展改革部门应当会同省生态环境、自然资源、林业、水利、农业农村、统计等部门，建立生态产品基础信息普查制度和动态监测制度，依托自然资源和生态环境调查监测体系，开展生态产品构成、数量、质量等情况调查，编制生态产品目录清单并动态调整。</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省发展改革部门应当会同省财政、自然资源、生态环境、农业农村、林业、水利、文化旅游、统计等部门，建立健全生态产品价值评价机制，建立行政区域单元生态产品总值和特定地域单元生态产品价值评价体系，明确生态产品价值核算指标体系、核算方法、数据来源和统计口径等，推进生态产品价值核算标准化。</w:t>
      </w:r>
    </w:p>
    <w:p>
      <w:pPr>
        <w:spacing w:line="240" w:lineRule="auto"/>
        <w:ind w:firstLine="640"/>
        <w:jc w:val="both"/>
      </w:pPr>
      <w:r>
        <w:rPr>
          <w:rFonts w:ascii="仿宋_GB2312" w:eastAsia="仿宋_GB2312" w:hAnsi="仿宋_GB2312" w:cs="仿宋_GB2312"/>
          <w:sz w:val="32"/>
        </w:rPr>
        <w:t>省人民政府应当逐步建立生态产品价值核算结果发布制度，适时评估区域生态环境保护成效和生态产品价值。</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县级以上人民政府应当推进生态产品价值核算结果在政府决策、规划编制、生态保护补偿、生态环境损害赔偿、经营开发融资、生态资源权益交易等方面的应用。</w:t>
      </w:r>
    </w:p>
    <w:p>
      <w:pPr>
        <w:spacing w:line="240" w:lineRule="auto"/>
        <w:ind w:firstLine="640"/>
        <w:jc w:val="both"/>
      </w:pPr>
      <w:r>
        <w:rPr>
          <w:rFonts w:ascii="仿宋_GB2312" w:eastAsia="仿宋_GB2312" w:hAnsi="仿宋_GB2312" w:cs="仿宋_GB2312"/>
          <w:sz w:val="32"/>
        </w:rPr>
        <w:t>鼓励探索生态产品价值权益质押融资。支持有条件的地区开展林业、海洋碳汇交易。</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省发展改革部门应当会同省有关部门依托省公共数据平台建立全省统一的生态产品经营管理平台。县级以上人民政府有关部门应当按照省有关规定，及时将生态产品信息录入生态产品经营管理平台。</w:t>
      </w:r>
    </w:p>
    <w:p>
      <w:pPr>
        <w:spacing w:line="240" w:lineRule="auto"/>
        <w:ind w:firstLine="640"/>
        <w:jc w:val="both"/>
      </w:pPr>
      <w:r>
        <w:rPr>
          <w:rFonts w:ascii="仿宋_GB2312" w:eastAsia="仿宋_GB2312" w:hAnsi="仿宋_GB2312" w:cs="仿宋_GB2312"/>
          <w:sz w:val="32"/>
        </w:rPr>
        <w:t>县级以上人民政府和有关部门应当通过定期举办生态产品推介会、组织开展生态产品线上交易等方式，推进生态产品供给方与需求方对接。</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在严格保护生态环境前提下，鼓励采取多种模式和路径推动生态产品价值实现，形成政府主导、社会参与、市场运作、可持续的生态产品价值实现机制。</w:t>
      </w:r>
    </w:p>
    <w:p>
      <w:pPr>
        <w:spacing w:line="240" w:lineRule="auto"/>
        <w:ind w:firstLine="640"/>
        <w:jc w:val="both"/>
      </w:pPr>
      <w:r>
        <w:rPr>
          <w:rFonts w:ascii="仿宋_GB2312" w:eastAsia="仿宋_GB2312" w:hAnsi="仿宋_GB2312" w:cs="仿宋_GB2312"/>
          <w:sz w:val="32"/>
        </w:rPr>
        <w:t>县级以上人民政府和有关部门应当合理利用洁净水源、清洁空气、适宜气候等自然条件，发展高效、清洁、低碳、循环的绿色产业，推动生态优势转化为产业优势。</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省、设区的市人民政府及有关部门应当采取措施，支持山区、海岛县（市）依托当地生态资源，发掘地方特色文化和文物、非物质文化遗产等优势，发展旅游、休闲度假经济和文化创意等产业，拓宽生态产品转化通道。</w:t>
      </w:r>
    </w:p>
    <w:p>
      <w:pPr>
        <w:spacing w:line="240" w:lineRule="auto"/>
        <w:ind w:firstLine="640"/>
        <w:jc w:val="both"/>
      </w:pPr>
      <w:r>
        <w:rPr>
          <w:rFonts w:ascii="仿宋_GB2312" w:eastAsia="仿宋_GB2312" w:hAnsi="仿宋_GB2312" w:cs="仿宋_GB2312"/>
          <w:sz w:val="32"/>
        </w:rPr>
        <w:t>鼓励将山区、海岛县（市）确定为职工疗养目的地。</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鼓励社会资本以投资、与政府合作等方式参与生态产品经营开发。鼓励村集体经济组织、村民采取入股分红模式参与生态产品经营开发。</w:t>
      </w:r>
    </w:p>
    <w:p>
      <w:pPr>
        <w:spacing w:line="240" w:lineRule="auto"/>
        <w:ind w:firstLine="640"/>
        <w:jc w:val="both"/>
      </w:pPr>
      <w:r>
        <w:rPr>
          <w:rFonts w:ascii="仿宋_GB2312" w:eastAsia="仿宋_GB2312" w:hAnsi="仿宋_GB2312" w:cs="仿宋_GB2312"/>
          <w:sz w:val="32"/>
        </w:rPr>
        <w:t>鼓励对矿业遗址、工业遗址、古旧村落、水利遗址等存量资源实施生态环境系统整治和配套设施建设，推进相关资源权益集中流转经营，提升其文化、旅游等开发利用价值。</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支持创建生态产品区域公用品牌和区域特色农产品品牌，建立品牌培育、推广、激励、保护等机制，完善质量追溯制度，提升生态产品价值。</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省人民政府应当综合考虑生态产品价值核算结果、生态保护红线区域面积等因素，建立健全财政转移支付资金分配机制，实施差异化补偿，加大对国家重点生态功能区、以国家公园为主体的自然保护地、特别生态功能区、山区县（市）以及承担重大生态环境保护建设工程任务地区的生态保护补偿力度。</w:t>
      </w:r>
    </w:p>
    <w:p>
      <w:pPr>
        <w:spacing w:line="240" w:lineRule="auto"/>
        <w:ind w:firstLine="640"/>
        <w:jc w:val="both"/>
      </w:pPr>
      <w:r>
        <w:rPr>
          <w:rFonts w:ascii="仿宋_GB2312" w:eastAsia="仿宋_GB2312" w:hAnsi="仿宋_GB2312" w:cs="仿宋_GB2312"/>
          <w:sz w:val="32"/>
        </w:rPr>
        <w:t>探索通过发行企业生态债券和社会捐助等方式，拓宽生态保护补偿资金渠道。</w:t>
      </w:r>
    </w:p>
    <w:p>
      <w:pPr>
        <w:spacing w:line="240" w:lineRule="auto"/>
        <w:ind w:firstLine="640"/>
        <w:jc w:val="both"/>
      </w:pPr>
      <w:r>
        <w:rPr>
          <w:rFonts w:ascii="仿宋_GB2312" w:eastAsia="仿宋_GB2312" w:hAnsi="仿宋_GB2312" w:cs="仿宋_GB2312"/>
          <w:sz w:val="32"/>
        </w:rPr>
        <w:t>主要提供生态产品的地区，所在地县级人民政府可以通过设立符合实际需要的生态公益岗位等方式，对当地居民实施生态保护补偿。</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省财政部门应当会同省有关部门建立健全主要流域上下游地区横向生态保护补偿机制，推动上下游地区人民政府依据出入境断面水质监测结果等开展生态保护补偿。</w:t>
      </w:r>
    </w:p>
    <w:p>
      <w:pPr>
        <w:spacing w:line="240" w:lineRule="auto"/>
        <w:ind w:firstLine="640"/>
        <w:jc w:val="both"/>
      </w:pPr>
      <w:r>
        <w:rPr>
          <w:rFonts w:ascii="仿宋_GB2312" w:eastAsia="仿宋_GB2312" w:hAnsi="仿宋_GB2312" w:cs="仿宋_GB2312"/>
          <w:sz w:val="32"/>
        </w:rPr>
        <w:t>生态产品供给地与受益地可以通过共建山海协作产业园、生态旅游文化产业园、跨省（市）合作园等方式，实现利益共享和风险分担。</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建立健全生态产品价值考核机制。逐步将生态产品总值指标纳入高质量发展综合绩效评价，并将生态产品价值核算结果作为领导干部自然资源资产离任审计的重要参考。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监督管理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建立健全生态环境问题发现机制。各级人民政府和负有生态环境保护监督管理职责的部门应当通过报纸、电视、互联网、手机客户端等方式，拓宽生态环境问题线索发现渠道，健全举报奖励制度，完善在线监控和预警监测体系，加强现场检查、巡查和部门协作联动，运用卫星遥感、无人机航摄等技术装备和数字化手段提升生态环境问题及时发现能力。</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省生态环境主管部门应当依托省公共数据平台建设全省统一的生态环境监督管理系统。</w:t>
      </w:r>
    </w:p>
    <w:p>
      <w:pPr>
        <w:spacing w:line="240" w:lineRule="auto"/>
        <w:ind w:firstLine="640"/>
        <w:jc w:val="both"/>
      </w:pPr>
      <w:r>
        <w:rPr>
          <w:rFonts w:ascii="仿宋_GB2312" w:eastAsia="仿宋_GB2312" w:hAnsi="仿宋_GB2312" w:cs="仿宋_GB2312"/>
          <w:sz w:val="32"/>
        </w:rPr>
        <w:t>生态环境主管部门和其他负有生态环境保护监督管理职责的部门应当依托生态环境监督管理系统，加强生态环境大数据分析研判与评价，提升智慧感知和预警溯源能力，推动智能化、闭环化监督管理。</w:t>
      </w:r>
    </w:p>
    <w:p>
      <w:pPr>
        <w:spacing w:line="240" w:lineRule="auto"/>
        <w:ind w:firstLine="640"/>
        <w:jc w:val="both"/>
      </w:pPr>
      <w:r>
        <w:rPr>
          <w:rFonts w:ascii="黑体" w:eastAsia="黑体" w:hAnsi="黑体" w:cs="黑体"/>
          <w:sz w:val="32"/>
        </w:rPr>
        <w:t>第五十二条</w:t>
      </w:r>
      <w:r>
        <w:rPr>
          <w:rFonts w:ascii="仿宋_GB2312" w:eastAsia="仿宋_GB2312" w:hAnsi="仿宋_GB2312" w:cs="仿宋_GB2312"/>
          <w:sz w:val="32"/>
        </w:rPr>
        <w:t>　列入环境信息依法披露名单的企业应当按照国家和省规定的披露内容、时限，将其环境信息录入企业环境信息依法披露系统，并对环境信息的真实性、准确性和完整性负责。</w:t>
      </w:r>
    </w:p>
    <w:p>
      <w:pPr>
        <w:spacing w:line="240" w:lineRule="auto"/>
        <w:ind w:firstLine="640"/>
        <w:jc w:val="both"/>
      </w:pPr>
      <w:r>
        <w:rPr>
          <w:rFonts w:ascii="仿宋_GB2312" w:eastAsia="仿宋_GB2312" w:hAnsi="仿宋_GB2312" w:cs="仿宋_GB2312"/>
          <w:sz w:val="32"/>
        </w:rPr>
        <w:t>环境信息依法披露企业的名单，由设区的市生态环境主管部门会同有关部门按照国家和省有关规定确定，实行动态调整，并向社会公开。</w:t>
      </w:r>
    </w:p>
    <w:p>
      <w:pPr>
        <w:spacing w:line="240" w:lineRule="auto"/>
        <w:ind w:firstLine="640"/>
        <w:jc w:val="both"/>
      </w:pPr>
      <w:r>
        <w:rPr>
          <w:rFonts w:ascii="仿宋_GB2312" w:eastAsia="仿宋_GB2312" w:hAnsi="仿宋_GB2312" w:cs="仿宋_GB2312"/>
          <w:sz w:val="32"/>
        </w:rPr>
        <w:t>省生态环境主管部门应当依托省公共数据平台建立全省统一的企业环境信息依法披露系统，供公众免费查询。</w:t>
      </w:r>
    </w:p>
    <w:p>
      <w:pPr>
        <w:spacing w:line="240" w:lineRule="auto"/>
        <w:ind w:firstLine="640"/>
        <w:jc w:val="both"/>
      </w:pPr>
      <w:r>
        <w:rPr>
          <w:rFonts w:ascii="仿宋_GB2312" w:eastAsia="仿宋_GB2312" w:hAnsi="仿宋_GB2312" w:cs="仿宋_GB2312"/>
          <w:sz w:val="32"/>
        </w:rPr>
        <w:t>生态环境主管部门和其他负有生态环境保护监督管理职责的部门应当建立环境信息共享机制，并将企业环境信息依法披露情况纳入企业信用管理，作为评价企业信用的重要内容。</w:t>
      </w:r>
    </w:p>
    <w:p>
      <w:pPr>
        <w:spacing w:line="240" w:lineRule="auto"/>
        <w:ind w:firstLine="640"/>
        <w:jc w:val="both"/>
      </w:pPr>
      <w:r>
        <w:rPr>
          <w:rFonts w:ascii="黑体" w:eastAsia="黑体" w:hAnsi="黑体" w:cs="黑体"/>
          <w:sz w:val="32"/>
        </w:rPr>
        <w:t>第五十三条</w:t>
      </w:r>
      <w:r>
        <w:rPr>
          <w:rFonts w:ascii="仿宋_GB2312" w:eastAsia="仿宋_GB2312" w:hAnsi="仿宋_GB2312" w:cs="仿宋_GB2312"/>
          <w:sz w:val="32"/>
        </w:rPr>
        <w:t>　鼓励生态环境监测设施、污水集中处理设施、生活垃圾集中处理设施、危险废物和废弃电器电子产品集中处理设施向公众开放。</w:t>
      </w:r>
    </w:p>
    <w:p>
      <w:pPr>
        <w:spacing w:line="240" w:lineRule="auto"/>
        <w:ind w:firstLine="640"/>
        <w:jc w:val="both"/>
      </w:pPr>
      <w:r>
        <w:rPr>
          <w:rFonts w:ascii="仿宋_GB2312" w:eastAsia="仿宋_GB2312" w:hAnsi="仿宋_GB2312" w:cs="仿宋_GB2312"/>
          <w:sz w:val="32"/>
        </w:rPr>
        <w:t>鼓励重点排污单位在确保安全生产的前提下，通过设立企业开放日、建设教育体验场所等形式，向公众开放相关污染防治设施。</w:t>
      </w:r>
    </w:p>
    <w:p>
      <w:pPr>
        <w:spacing w:line="240" w:lineRule="auto"/>
        <w:ind w:firstLine="640"/>
        <w:jc w:val="both"/>
      </w:pPr>
      <w:r>
        <w:rPr>
          <w:rFonts w:ascii="黑体" w:eastAsia="黑体" w:hAnsi="黑体" w:cs="黑体"/>
          <w:sz w:val="32"/>
        </w:rPr>
        <w:t>第五十四条</w:t>
      </w:r>
      <w:r>
        <w:rPr>
          <w:rFonts w:ascii="仿宋_GB2312" w:eastAsia="仿宋_GB2312" w:hAnsi="仿宋_GB2312" w:cs="仿宋_GB2312"/>
          <w:sz w:val="32"/>
        </w:rPr>
        <w:t>　为排污单位提供生产经营场所的出租人，应当配合生态环境主管部门或者其他负有生态环境保护监督管理职责的部门对出租场所开展的行政执法，如实提供承租人的有关信息。</w:t>
      </w:r>
    </w:p>
    <w:p>
      <w:pPr>
        <w:spacing w:line="240" w:lineRule="auto"/>
        <w:ind w:firstLine="640"/>
        <w:jc w:val="both"/>
      </w:pPr>
      <w:r>
        <w:rPr>
          <w:rFonts w:ascii="仿宋_GB2312" w:eastAsia="仿宋_GB2312" w:hAnsi="仿宋_GB2312" w:cs="仿宋_GB2312"/>
          <w:sz w:val="32"/>
        </w:rPr>
        <w:t>出租人发现承租人利用出租场所从事生态环境违法行为的，应当及时向生态环境主管部门报告。</w:t>
      </w:r>
    </w:p>
    <w:p>
      <w:pPr>
        <w:spacing w:line="240" w:lineRule="auto"/>
        <w:ind w:firstLine="640"/>
        <w:jc w:val="both"/>
      </w:pPr>
      <w:r>
        <w:rPr>
          <w:rFonts w:ascii="黑体" w:eastAsia="黑体" w:hAnsi="黑体" w:cs="黑体"/>
          <w:sz w:val="32"/>
        </w:rPr>
        <w:t>第五十五条</w:t>
      </w:r>
      <w:r>
        <w:rPr>
          <w:rFonts w:ascii="仿宋_GB2312" w:eastAsia="仿宋_GB2312" w:hAnsi="仿宋_GB2312" w:cs="仿宋_GB2312"/>
          <w:sz w:val="32"/>
        </w:rPr>
        <w:t>　生态环境主管部门和其他负有生态环境保护监督管理职责的部门，可以委托符合法定条件的生态环境监测机构开展环境监测。受委托的生态环境监测机构出具的监测数据，可以作为生态环境执法和管理的依据。</w:t>
      </w:r>
    </w:p>
    <w:p>
      <w:pPr>
        <w:spacing w:line="240" w:lineRule="auto"/>
        <w:ind w:firstLine="640"/>
        <w:jc w:val="both"/>
      </w:pPr>
      <w:r>
        <w:rPr>
          <w:rFonts w:ascii="仿宋_GB2312" w:eastAsia="仿宋_GB2312" w:hAnsi="仿宋_GB2312" w:cs="仿宋_GB2312"/>
          <w:sz w:val="32"/>
        </w:rPr>
        <w:t>经计量检定或者校准的重点排污单位污染物排放自动监测设备收集、固定的污染物排放数据，可以作为生态环境执法和管理的依据；但作为行政处罚证据的，应当依法经法制和技术审核并符合规定要求。</w:t>
      </w:r>
    </w:p>
    <w:p>
      <w:pPr>
        <w:spacing w:line="240" w:lineRule="auto"/>
        <w:ind w:firstLine="640"/>
        <w:jc w:val="both"/>
      </w:pPr>
      <w:r>
        <w:rPr>
          <w:rFonts w:ascii="黑体" w:eastAsia="黑体" w:hAnsi="黑体" w:cs="黑体"/>
          <w:sz w:val="32"/>
        </w:rPr>
        <w:t>第五十六条</w:t>
      </w:r>
      <w:r>
        <w:rPr>
          <w:rFonts w:ascii="仿宋_GB2312" w:eastAsia="仿宋_GB2312" w:hAnsi="仿宋_GB2312" w:cs="仿宋_GB2312"/>
          <w:sz w:val="32"/>
        </w:rPr>
        <w:t>　生态环境主管部门和其他负有生态环境保护监督管理职责的部门，可以综合运用重点检查、随机抽查、联合执法、跨区域执法等方式，加强生态环境保护行政执法。</w:t>
      </w:r>
    </w:p>
    <w:p>
      <w:pPr>
        <w:spacing w:line="240" w:lineRule="auto"/>
        <w:ind w:firstLine="640"/>
        <w:jc w:val="both"/>
      </w:pPr>
      <w:r>
        <w:rPr>
          <w:rFonts w:ascii="仿宋_GB2312" w:eastAsia="仿宋_GB2312" w:hAnsi="仿宋_GB2312" w:cs="仿宋_GB2312"/>
          <w:sz w:val="32"/>
        </w:rPr>
        <w:t>生态环境主管部门和其他负有生态环境保护监督管理职责的部门，应当加强对其工作人员有关生态环境保护法律法规、政策规定和业务技能的培训，提高专业素质和依法行政能力。</w:t>
      </w:r>
    </w:p>
    <w:p>
      <w:pPr>
        <w:spacing w:line="240" w:lineRule="auto"/>
        <w:ind w:firstLine="640"/>
        <w:jc w:val="both"/>
      </w:pPr>
      <w:r>
        <w:rPr>
          <w:rFonts w:ascii="黑体" w:eastAsia="黑体" w:hAnsi="黑体" w:cs="黑体"/>
          <w:sz w:val="32"/>
        </w:rPr>
        <w:t>第五十七条</w:t>
      </w:r>
      <w:r>
        <w:rPr>
          <w:rFonts w:ascii="仿宋_GB2312" w:eastAsia="仿宋_GB2312" w:hAnsi="仿宋_GB2312" w:cs="仿宋_GB2312"/>
          <w:sz w:val="32"/>
        </w:rPr>
        <w:t>　沿海县级以上人民政府应当根据陆海统筹、海河兼顾、预防为主、防治结合的原则，建立健全近岸海域环境保护协调机制和海洋环境违法行为综合行政执法体制，对重点海洋生态功能区、生态环境敏感区和脆弱区等海域实行严格保护。</w:t>
      </w:r>
    </w:p>
    <w:p>
      <w:pPr>
        <w:spacing w:line="240" w:lineRule="auto"/>
        <w:ind w:firstLine="640"/>
        <w:jc w:val="both"/>
      </w:pPr>
      <w:r>
        <w:rPr>
          <w:rFonts w:ascii="黑体" w:eastAsia="黑体" w:hAnsi="黑体" w:cs="黑体"/>
          <w:sz w:val="32"/>
        </w:rPr>
        <w:t>第五十八条</w:t>
      </w:r>
      <w:r>
        <w:rPr>
          <w:rFonts w:ascii="仿宋_GB2312" w:eastAsia="仿宋_GB2312" w:hAnsi="仿宋_GB2312" w:cs="仿宋_GB2312"/>
          <w:sz w:val="32"/>
        </w:rPr>
        <w:t>　县级以上人民政府应当建立健全生态环境应急处置机制，完善突发环境事件应急预案，建立健全跨部门、跨区域生态环境应急协调联动机制，提高生态环境事件防范和应急处置能力。</w:t>
      </w:r>
    </w:p>
    <w:p>
      <w:pPr>
        <w:spacing w:line="240" w:lineRule="auto"/>
        <w:ind w:firstLine="640"/>
        <w:jc w:val="both"/>
      </w:pPr>
      <w:r>
        <w:rPr>
          <w:rFonts w:ascii="黑体" w:eastAsia="黑体" w:hAnsi="黑体" w:cs="黑体"/>
          <w:sz w:val="32"/>
        </w:rPr>
        <w:t>第五十九条</w:t>
      </w:r>
      <w:r>
        <w:rPr>
          <w:rFonts w:ascii="仿宋_GB2312" w:eastAsia="仿宋_GB2312" w:hAnsi="仿宋_GB2312" w:cs="仿宋_GB2312"/>
          <w:sz w:val="32"/>
        </w:rPr>
        <w:t>　省、设区的市、县（市、区）应当建立健全生态环境保护考核体系，对本级人民政府负有生态环境保护职责的部门及其负责人和下级人民政府及其负责人依法履行生态环境保护情况进行考核。考核结果应当向社会公开。</w:t>
      </w:r>
    </w:p>
    <w:p>
      <w:pPr>
        <w:spacing w:line="240" w:lineRule="auto"/>
        <w:ind w:firstLine="640"/>
        <w:jc w:val="both"/>
      </w:pPr>
      <w:r>
        <w:rPr>
          <w:rFonts w:ascii="黑体" w:eastAsia="黑体" w:hAnsi="黑体" w:cs="黑体"/>
          <w:sz w:val="32"/>
        </w:rPr>
        <w:t>第六十条</w:t>
      </w:r>
      <w:r>
        <w:rPr>
          <w:rFonts w:ascii="仿宋_GB2312" w:eastAsia="仿宋_GB2312" w:hAnsi="仿宋_GB2312" w:cs="仿宋_GB2312"/>
          <w:sz w:val="32"/>
        </w:rPr>
        <w:t>　建立健全省级生态环境保护督察制度，对设区的市、县（市、区）、有关部门执行生态环境保护法律法规、贯彻落实生态文明建设和生态环境保护决策部署、环境保护目标完成情况、突出生态环境问题整治等情况，按照省有关规定进行督察。督察结果作为领导干部综合考核评价、奖惩任免的重要依据。</w:t>
      </w:r>
    </w:p>
    <w:p>
      <w:pPr>
        <w:spacing w:line="240" w:lineRule="auto"/>
        <w:ind w:firstLine="640"/>
        <w:jc w:val="both"/>
      </w:pPr>
      <w:r>
        <w:rPr>
          <w:rFonts w:ascii="黑体" w:eastAsia="黑体" w:hAnsi="黑体" w:cs="黑体"/>
          <w:sz w:val="32"/>
        </w:rPr>
        <w:t>第六十一条</w:t>
      </w:r>
      <w:r>
        <w:rPr>
          <w:rFonts w:ascii="仿宋_GB2312" w:eastAsia="仿宋_GB2312" w:hAnsi="仿宋_GB2312" w:cs="仿宋_GB2312"/>
          <w:sz w:val="32"/>
        </w:rPr>
        <w:t>　建立健全生态环境保护约谈制度，对生态环境污染问题突出、防治工作不力的地区，省生态环境主管部门应当会同有关部门依法约谈所在地设区的市、县（市、区）人民政府主要负责人，督促被约谈地区的人民政府落实约谈要求，并对整改情况进行监督检查。约谈整改情况应当向社会公开。</w:t>
      </w:r>
    </w:p>
    <w:p>
      <w:pPr>
        <w:spacing w:line="240" w:lineRule="auto"/>
        <w:ind w:firstLine="640"/>
        <w:jc w:val="both"/>
      </w:pPr>
      <w:r>
        <w:rPr>
          <w:rFonts w:ascii="仿宋_GB2312" w:eastAsia="仿宋_GB2312" w:hAnsi="仿宋_GB2312" w:cs="仿宋_GB2312"/>
          <w:sz w:val="32"/>
        </w:rPr>
        <w:t>生态环境主管部门发现同级有关部门未依法履行生态环境保护职责的，可以提请本级人民政府进行约谈、通报；情节严重的，可以向有关任免机关、监察机关提出对该部门负责人的处理建议。</w:t>
      </w:r>
    </w:p>
    <w:p>
      <w:pPr>
        <w:spacing w:line="240" w:lineRule="auto"/>
        <w:ind w:firstLine="640"/>
        <w:jc w:val="both"/>
      </w:pPr>
      <w:r>
        <w:rPr>
          <w:rFonts w:ascii="黑体" w:eastAsia="黑体" w:hAnsi="黑体" w:cs="黑体"/>
          <w:sz w:val="32"/>
        </w:rPr>
        <w:t>第六十二条</w:t>
      </w:r>
      <w:r>
        <w:rPr>
          <w:rFonts w:ascii="仿宋_GB2312" w:eastAsia="仿宋_GB2312" w:hAnsi="仿宋_GB2312" w:cs="仿宋_GB2312"/>
          <w:sz w:val="32"/>
        </w:rPr>
        <w:t>　建立健全生态环境保护问责制度，对未依法履行生态环境保护职责的有关地区、部门负责人，按照国家和省有关规定予以问责；对造成生态环境严重损害的，实行终身责任追究。</w:t>
      </w:r>
    </w:p>
    <w:p>
      <w:pPr>
        <w:spacing w:line="240" w:lineRule="auto"/>
        <w:ind w:firstLine="640"/>
        <w:jc w:val="both"/>
      </w:pPr>
      <w:r>
        <w:rPr>
          <w:rFonts w:ascii="仿宋_GB2312" w:eastAsia="仿宋_GB2312" w:hAnsi="仿宋_GB2312" w:cs="仿宋_GB2312"/>
          <w:sz w:val="32"/>
        </w:rPr>
        <w:t>实行领导干部自然资源资产离任审计制度。</w:t>
      </w:r>
    </w:p>
    <w:p>
      <w:pPr>
        <w:spacing w:line="240" w:lineRule="auto"/>
        <w:ind w:firstLine="640"/>
        <w:jc w:val="both"/>
      </w:pPr>
      <w:r>
        <w:rPr>
          <w:rFonts w:ascii="黑体" w:eastAsia="黑体" w:hAnsi="黑体" w:cs="黑体"/>
          <w:sz w:val="32"/>
        </w:rPr>
        <w:t>第六十三条</w:t>
      </w:r>
      <w:r>
        <w:rPr>
          <w:rFonts w:ascii="仿宋_GB2312" w:eastAsia="仿宋_GB2312" w:hAnsi="仿宋_GB2312" w:cs="仿宋_GB2312"/>
          <w:sz w:val="32"/>
        </w:rPr>
        <w:t>　各级人民政府应当每年向本级人民代表大会或者人民代表大会常务委员会报告生态环境状况和环境保护目标完成情况；发生重大生态环境事件的，县级以上人民政府应当及时向本级人民代表大会常务委员会报告，依法接受监督。</w:t>
      </w:r>
    </w:p>
    <w:p>
      <w:pPr>
        <w:spacing w:line="240" w:lineRule="auto"/>
        <w:ind w:firstLine="640"/>
        <w:jc w:val="both"/>
      </w:pPr>
      <w:r>
        <w:rPr>
          <w:rFonts w:ascii="仿宋_GB2312" w:eastAsia="仿宋_GB2312" w:hAnsi="仿宋_GB2312" w:cs="仿宋_GB2312"/>
          <w:sz w:val="32"/>
        </w:rPr>
        <w:t>省、设区的市人民政府应当将推进碳达峰碳中和、生物多样性保护和生态环境修复情况，纳入生态环境状况和环境保护目标完成情况年度报告。</w:t>
      </w:r>
    </w:p>
    <w:p>
      <w:pPr>
        <w:spacing w:line="240" w:lineRule="auto"/>
        <w:ind w:firstLine="640"/>
        <w:jc w:val="both"/>
      </w:pPr>
      <w:r>
        <w:rPr>
          <w:rFonts w:ascii="仿宋_GB2312" w:eastAsia="仿宋_GB2312" w:hAnsi="仿宋_GB2312" w:cs="仿宋_GB2312"/>
          <w:sz w:val="32"/>
        </w:rPr>
        <w:t>人大街道工作机构组织召开街道居民议事组织会议时，可以要求街道办事处通报辖区内年度生态环境状况和环境保护情况。</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第六十四条</w:t>
      </w:r>
      <w:r>
        <w:rPr>
          <w:rFonts w:ascii="仿宋_GB2312" w:eastAsia="仿宋_GB2312" w:hAnsi="仿宋_GB2312" w:cs="仿宋_GB2312"/>
          <w:sz w:val="32"/>
        </w:rPr>
        <w:t>　违反本条例规定的行为，法律、行政法规已有法律责任规定的，从其规定。</w:t>
      </w:r>
    </w:p>
    <w:p>
      <w:pPr>
        <w:spacing w:line="240" w:lineRule="auto"/>
        <w:ind w:firstLine="640"/>
        <w:jc w:val="both"/>
      </w:pPr>
      <w:r>
        <w:rPr>
          <w:rFonts w:ascii="黑体" w:eastAsia="黑体" w:hAnsi="黑体" w:cs="黑体"/>
          <w:sz w:val="32"/>
        </w:rPr>
        <w:t>第六十五条</w:t>
      </w:r>
      <w:r>
        <w:rPr>
          <w:rFonts w:ascii="仿宋_GB2312" w:eastAsia="仿宋_GB2312" w:hAnsi="仿宋_GB2312" w:cs="仿宋_GB2312"/>
          <w:sz w:val="32"/>
        </w:rPr>
        <w:t>　违反本条例第二十二条规定，生态环境服务机构及其从业人员未按照法律、法规、标准、技术规范要求提供生态环境服务或者在有关生态环境服务活动中弄虚作假的，由生态环境主管部门或者其他负有生态环境保护监督管理职责的部门责令改正，没收违法所得，对机构处五万元以上二十万元以下罚款，对负有责任的主管人员和其他直接责任人员处五千元以上五万元以下罚款；情节严重的，对机构处二十万元以上五十万元以下罚款，对负有责任的主管人员和其他直接责任人员处五万元以上十万元以下罚款，有关责任人员五年内不得从事生态环境服务工作。</w:t>
      </w:r>
    </w:p>
    <w:p>
      <w:pPr>
        <w:spacing w:line="240" w:lineRule="auto"/>
        <w:ind w:firstLine="640"/>
        <w:jc w:val="both"/>
      </w:pPr>
      <w:r>
        <w:rPr>
          <w:rFonts w:ascii="仿宋_GB2312" w:eastAsia="仿宋_GB2312" w:hAnsi="仿宋_GB2312" w:cs="仿宋_GB2312"/>
          <w:sz w:val="32"/>
        </w:rPr>
        <w:t>依照前款规定对生态环境服务机构作出行政处罚的，自作出行政处罚决定之日起三年内禁止该机构参与政府采购的生态环境服务项目。</w:t>
      </w:r>
    </w:p>
    <w:p>
      <w:pPr>
        <w:spacing w:line="240" w:lineRule="auto"/>
        <w:ind w:firstLine="640"/>
        <w:jc w:val="both"/>
      </w:pPr>
      <w:r>
        <w:rPr>
          <w:rFonts w:ascii="黑体" w:eastAsia="黑体" w:hAnsi="黑体" w:cs="黑体"/>
          <w:sz w:val="32"/>
        </w:rPr>
        <w:t>第六十六条</w:t>
      </w:r>
      <w:r>
        <w:rPr>
          <w:rFonts w:ascii="仿宋_GB2312" w:eastAsia="仿宋_GB2312" w:hAnsi="仿宋_GB2312" w:cs="仿宋_GB2312"/>
          <w:sz w:val="32"/>
        </w:rPr>
        <w:t>　违反本条例第二十三条第三款规定，室外灯光广告、照明设备不符合环境照明技术规范要求的，由城市市容和环境卫生主管部门责令限期改正；逾期不改正的，处二万元以上五万元以下罚款。</w:t>
      </w:r>
    </w:p>
    <w:p>
      <w:pPr>
        <w:spacing w:line="240" w:lineRule="auto"/>
        <w:ind w:firstLine="640"/>
        <w:jc w:val="both"/>
      </w:pPr>
      <w:r>
        <w:rPr>
          <w:rFonts w:ascii="黑体" w:eastAsia="黑体" w:hAnsi="黑体" w:cs="黑体"/>
          <w:sz w:val="32"/>
        </w:rPr>
        <w:t>第六十七条</w:t>
      </w:r>
      <w:r>
        <w:rPr>
          <w:rFonts w:ascii="仿宋_GB2312" w:eastAsia="仿宋_GB2312" w:hAnsi="仿宋_GB2312" w:cs="仿宋_GB2312"/>
          <w:sz w:val="32"/>
        </w:rPr>
        <w:t>　违反本条例第五十四条规定，出租人不配合对出租场所开展的行政执法或者发现承租人利用出租场所从事生态环境违法行为不及时报告的，由生态环境主管部门或者其他负有生态环境保护监督管理职责的部门责令改正；拒不改正的，对个人处五百元以上五千元以下罚款，对单位处五千元以上二万元以下罚款。</w:t>
      </w:r>
    </w:p>
    <w:p>
      <w:pPr>
        <w:spacing w:line="240" w:lineRule="auto"/>
        <w:ind w:firstLine="640"/>
        <w:jc w:val="both"/>
      </w:pPr>
      <w:r>
        <w:rPr>
          <w:rFonts w:ascii="黑体" w:eastAsia="黑体" w:hAnsi="黑体" w:cs="黑体"/>
          <w:sz w:val="32"/>
        </w:rPr>
        <w:t>第六十八条</w:t>
      </w:r>
      <w:r>
        <w:rPr>
          <w:rFonts w:ascii="仿宋_GB2312" w:eastAsia="仿宋_GB2312" w:hAnsi="仿宋_GB2312" w:cs="仿宋_GB2312"/>
          <w:sz w:val="32"/>
        </w:rPr>
        <w:t>　有下列情形之一，受到罚款处罚，被责令改正，拒不改正的，依法作出处罚决定的行政机关可以自责令改正之日的次日起，按照原处罚数额按日连续处罚：</w:t>
      </w:r>
    </w:p>
    <w:p>
      <w:pPr>
        <w:spacing w:line="240" w:lineRule="auto"/>
        <w:ind w:firstLine="640"/>
        <w:jc w:val="both"/>
      </w:pPr>
      <w:r>
        <w:rPr>
          <w:rFonts w:ascii="仿宋_GB2312" w:eastAsia="仿宋_GB2312" w:hAnsi="仿宋_GB2312" w:cs="仿宋_GB2312"/>
          <w:sz w:val="32"/>
        </w:rPr>
        <w:t>（一）违法排放污染物的；</w:t>
      </w:r>
    </w:p>
    <w:p>
      <w:pPr>
        <w:spacing w:line="240" w:lineRule="auto"/>
        <w:ind w:firstLine="640"/>
        <w:jc w:val="both"/>
      </w:pPr>
      <w:r>
        <w:rPr>
          <w:rFonts w:ascii="仿宋_GB2312" w:eastAsia="仿宋_GB2312" w:hAnsi="仿宋_GB2312" w:cs="仿宋_GB2312"/>
          <w:sz w:val="32"/>
        </w:rPr>
        <w:t>（二）生产、销售、使用、转让、进口、贮存放射性同位素和射线装置，未依法申领许可证、办理相关手续的；</w:t>
      </w:r>
    </w:p>
    <w:p>
      <w:pPr>
        <w:spacing w:line="240" w:lineRule="auto"/>
        <w:ind w:firstLine="640"/>
        <w:jc w:val="both"/>
      </w:pPr>
      <w:r>
        <w:rPr>
          <w:rFonts w:ascii="仿宋_GB2312" w:eastAsia="仿宋_GB2312" w:hAnsi="仿宋_GB2312" w:cs="仿宋_GB2312"/>
          <w:sz w:val="32"/>
        </w:rPr>
        <w:t>（三）法律、法规规定应当按日连续处罚的其他情形。</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第六十九条</w:t>
      </w:r>
      <w:r>
        <w:rPr>
          <w:rFonts w:ascii="仿宋_GB2312" w:eastAsia="仿宋_GB2312" w:hAnsi="仿宋_GB2312" w:cs="仿宋_GB2312"/>
          <w:sz w:val="32"/>
        </w:rPr>
        <w:t>　本条例所称排污单位，是指排放污染物的企业事业单位和其他生产经营者。</w:t>
      </w:r>
    </w:p>
    <w:p>
      <w:pPr>
        <w:spacing w:line="240" w:lineRule="auto"/>
        <w:ind w:firstLine="640"/>
        <w:jc w:val="both"/>
      </w:pPr>
      <w:r>
        <w:rPr>
          <w:rFonts w:ascii="仿宋_GB2312" w:eastAsia="仿宋_GB2312" w:hAnsi="仿宋_GB2312" w:cs="仿宋_GB2312"/>
          <w:sz w:val="32"/>
        </w:rPr>
        <w:t>本条例所称生态环境服务机构，是指提供环境影响评价、建设项目竣工环保验收、检测监测、鉴定评估、温室气体排放核算、碳资产管理、环境污染治理设施和环境监测设施运营维护、环境污染治理等服务的机构。</w:t>
      </w:r>
    </w:p>
    <w:p>
      <w:pPr>
        <w:spacing w:line="240" w:lineRule="auto"/>
        <w:ind w:firstLine="640"/>
        <w:jc w:val="both"/>
      </w:pPr>
      <w:r>
        <w:rPr>
          <w:rFonts w:ascii="仿宋_GB2312" w:eastAsia="仿宋_GB2312" w:hAnsi="仿宋_GB2312" w:cs="仿宋_GB2312"/>
          <w:sz w:val="32"/>
        </w:rPr>
        <w:t>本条例所称生态环境损害，是指因污染环境、破坏生态造成大气、地表水、地下水、土壤、森林等环境要素和植物、动物、微生物等生物要素的不利改变，以及上述要素构成的生态系统功能退化。</w:t>
      </w:r>
    </w:p>
    <w:p>
      <w:pPr>
        <w:spacing w:line="240" w:lineRule="auto"/>
        <w:ind w:firstLine="640"/>
        <w:jc w:val="both"/>
      </w:pPr>
      <w:r>
        <w:rPr>
          <w:rFonts w:ascii="黑体" w:eastAsia="黑体" w:hAnsi="黑体" w:cs="黑体"/>
          <w:sz w:val="32"/>
        </w:rPr>
        <w:t>第七十条</w:t>
      </w:r>
      <w:r>
        <w:rPr>
          <w:rFonts w:ascii="仿宋_GB2312" w:eastAsia="仿宋_GB2312" w:hAnsi="仿宋_GB2312" w:cs="仿宋_GB2312"/>
          <w:sz w:val="32"/>
        </w:rPr>
        <w:t>　生态环境保护和大气、水、土壤、海洋、固体废物、噪声、放射性污染防治的具体要求，依照有关法律、法规规定执行。</w:t>
      </w:r>
    </w:p>
    <w:p>
      <w:pPr>
        <w:spacing w:line="240" w:lineRule="auto"/>
        <w:ind w:firstLine="640"/>
        <w:jc w:val="both"/>
      </w:pPr>
      <w:r>
        <w:rPr>
          <w:rFonts w:ascii="黑体" w:eastAsia="黑体" w:hAnsi="黑体" w:cs="黑体"/>
          <w:sz w:val="32"/>
        </w:rPr>
        <w:t>第七十一条</w:t>
      </w:r>
      <w:r>
        <w:rPr>
          <w:rFonts w:ascii="仿宋_GB2312" w:eastAsia="仿宋_GB2312" w:hAnsi="仿宋_GB2312" w:cs="仿宋_GB2312"/>
          <w:sz w:val="32"/>
        </w:rPr>
        <w:t>　本条例自2022年8月1日起施行。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