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6"/>
        <w:spacing w:line="560" w:lineRule="exact"/>
        <w:jc w:val="center"/>
        <w:rPr>
          <w:rFonts w:ascii="宋体" w:hAnsi="宋体" w:eastAsia="宋体"/>
        </w:rPr>
      </w:pPr>
    </w:p>
    <w:p>
      <w:pPr>
        <w:pStyle w:val="16"/>
        <w:spacing w:line="560" w:lineRule="exact"/>
        <w:jc w:val="center"/>
        <w:rPr>
          <w:rFonts w:ascii="宋体" w:hAnsi="宋体" w:eastAsia="宋体"/>
        </w:rPr>
      </w:pPr>
    </w:p>
    <w:p>
      <w:pPr>
        <w:spacing w:line="560" w:lineRule="exact"/>
        <w:jc w:val="center"/>
        <w:rPr>
          <w:rFonts w:ascii="宋体" w:hAnsi="宋体" w:eastAsia="宋体"/>
          <w:spacing w:val="0"/>
          <w:w w:val="95"/>
          <w:kern w:val="0"/>
          <w:sz w:val="44"/>
          <w:szCs w:val="44"/>
        </w:rPr>
      </w:pPr>
      <w:r>
        <w:rPr>
          <w:rFonts w:hint="eastAsia" w:ascii="宋体" w:hAnsi="宋体" w:eastAsia="宋体" w:cs="宋体"/>
          <w:spacing w:val="0"/>
          <w:w w:val="95"/>
          <w:kern w:val="0"/>
          <w:sz w:val="44"/>
          <w:szCs w:val="44"/>
        </w:rPr>
        <w:t>金华市禁止销售燃放烟花爆竹管理规定</w:t>
      </w:r>
    </w:p>
    <w:p>
      <w:pPr>
        <w:ind w:left="785" w:leftChars="200" w:right="527" w:rightChars="168" w:hanging="157" w:hangingChars="50"/>
        <w:rPr>
          <w:rFonts w:ascii="宋体" w:hAnsi="宋体" w:eastAsia="宋体"/>
        </w:rPr>
      </w:pPr>
    </w:p>
    <w:p>
      <w:pPr>
        <w:spacing w:line="560" w:lineRule="exact"/>
        <w:ind w:firstLine="628" w:firstLineChars="200"/>
        <w:rPr>
          <w:rFonts w:ascii="楷体_GB2312" w:eastAsia="楷体_GB2312"/>
          <w:color w:val="000000"/>
        </w:rPr>
      </w:pPr>
      <w:r>
        <w:rPr>
          <w:rFonts w:hint="eastAsia" w:ascii="楷体_GB2312" w:eastAsia="楷体_GB2312" w:cs="楷体_GB2312"/>
          <w:color w:val="000000"/>
        </w:rPr>
        <w:t>（</w:t>
      </w:r>
      <w:r>
        <w:rPr>
          <w:color w:val="000000"/>
        </w:rPr>
        <w:t>2019</w:t>
      </w:r>
      <w:r>
        <w:rPr>
          <w:rFonts w:hint="eastAsia" w:ascii="楷体_GB2312" w:eastAsia="楷体_GB2312" w:cs="楷体_GB2312"/>
          <w:color w:val="000000"/>
        </w:rPr>
        <w:t>年</w:t>
      </w:r>
      <w:r>
        <w:rPr>
          <w:color w:val="000000"/>
        </w:rPr>
        <w:t>8</w:t>
      </w:r>
      <w:r>
        <w:rPr>
          <w:rFonts w:hint="eastAsia" w:ascii="楷体_GB2312" w:eastAsia="楷体_GB2312" w:cs="楷体_GB2312"/>
          <w:color w:val="000000"/>
        </w:rPr>
        <w:t>月</w:t>
      </w:r>
      <w:r>
        <w:rPr>
          <w:color w:val="000000"/>
        </w:rPr>
        <w:t>16</w:t>
      </w:r>
      <w:r>
        <w:rPr>
          <w:rFonts w:hint="eastAsia" w:ascii="楷体_GB2312" w:eastAsia="楷体_GB2312" w:cs="楷体_GB2312"/>
          <w:color w:val="000000"/>
        </w:rPr>
        <w:t>日金华市第七届人民代表大会常务委员会第二十二次会议通过</w:t>
      </w:r>
      <w:r>
        <w:rPr>
          <w:color w:val="000000"/>
        </w:rPr>
        <w:t> </w:t>
      </w:r>
      <w:r>
        <w:rPr>
          <w:rStyle w:val="15"/>
          <w:color w:val="000000"/>
        </w:rPr>
        <w:t> </w:t>
      </w:r>
      <w:r>
        <w:rPr>
          <w:color w:val="000000"/>
        </w:rPr>
        <w:t>2019</w:t>
      </w:r>
      <w:r>
        <w:rPr>
          <w:rFonts w:hint="eastAsia" w:ascii="楷体_GB2312" w:eastAsia="楷体_GB2312" w:cs="楷体_GB2312"/>
          <w:color w:val="000000"/>
        </w:rPr>
        <w:t>年</w:t>
      </w:r>
      <w:r>
        <w:rPr>
          <w:color w:val="000000"/>
        </w:rPr>
        <w:t>9</w:t>
      </w:r>
      <w:r>
        <w:rPr>
          <w:rFonts w:hint="eastAsia" w:ascii="楷体_GB2312" w:eastAsia="楷体_GB2312" w:cs="楷体_GB2312"/>
          <w:color w:val="000000"/>
        </w:rPr>
        <w:t>月</w:t>
      </w:r>
      <w:r>
        <w:rPr>
          <w:color w:val="000000"/>
        </w:rPr>
        <w:t>27</w:t>
      </w:r>
      <w:r>
        <w:rPr>
          <w:rFonts w:hint="eastAsia" w:ascii="楷体_GB2312" w:eastAsia="楷体_GB2312" w:cs="楷体_GB2312"/>
          <w:color w:val="000000"/>
        </w:rPr>
        <w:t>日浙江省第十三届人民代表大会常务委员会第十四次会议批准）</w:t>
      </w:r>
    </w:p>
    <w:p>
      <w:pPr>
        <w:spacing w:line="560" w:lineRule="exact"/>
        <w:rPr>
          <w:rFonts w:ascii="宋体" w:hAnsi="宋体" w:eastAsia="宋体"/>
        </w:rPr>
      </w:pPr>
    </w:p>
    <w:p>
      <w:pPr>
        <w:spacing w:line="560" w:lineRule="exact"/>
        <w:ind w:firstLine="628" w:firstLineChars="200"/>
        <w:rPr>
          <w:color w:val="000000"/>
        </w:rPr>
      </w:pPr>
      <w:r>
        <w:rPr>
          <w:rFonts w:hint="eastAsia" w:ascii="黑体" w:eastAsia="黑体" w:cs="黑体"/>
          <w:color w:val="000000"/>
        </w:rPr>
        <w:t>第一条</w:t>
      </w:r>
      <w:r>
        <w:rPr>
          <w:color w:val="000000"/>
        </w:rPr>
        <w:t xml:space="preserve">  </w:t>
      </w:r>
      <w:r>
        <w:rPr>
          <w:rFonts w:hint="eastAsia" w:cs="仿宋_GB2312"/>
          <w:color w:val="000000"/>
        </w:rPr>
        <w:t>为了加强烟花爆竹销售、燃放管理，保障公共安全和人身、财产安全，防治环境污染，根据《烟花爆竹安全管理条例》等有关法律法规，结合本市实际，制定本规定。</w:t>
      </w:r>
    </w:p>
    <w:p>
      <w:pPr>
        <w:spacing w:line="560" w:lineRule="exact"/>
        <w:ind w:firstLine="628" w:firstLineChars="200"/>
        <w:rPr>
          <w:color w:val="000000"/>
        </w:rPr>
      </w:pPr>
      <w:r>
        <w:rPr>
          <w:rFonts w:hint="eastAsia" w:ascii="黑体" w:eastAsia="黑体" w:cs="黑体"/>
          <w:color w:val="000000"/>
        </w:rPr>
        <w:t>第二条</w:t>
      </w:r>
      <w:r>
        <w:rPr>
          <w:color w:val="000000"/>
        </w:rPr>
        <w:t xml:space="preserve">  </w:t>
      </w:r>
      <w:r>
        <w:rPr>
          <w:rFonts w:hint="eastAsia" w:cs="仿宋_GB2312"/>
          <w:color w:val="000000"/>
        </w:rPr>
        <w:t>本市行政区域内烟花爆竹的销售、燃放及相关监督管理活动，适用本规定。</w:t>
      </w:r>
    </w:p>
    <w:p>
      <w:pPr>
        <w:spacing w:line="560" w:lineRule="exact"/>
        <w:ind w:firstLine="628" w:firstLineChars="200"/>
        <w:rPr>
          <w:color w:val="000000"/>
        </w:rPr>
      </w:pPr>
      <w:r>
        <w:rPr>
          <w:rFonts w:hint="eastAsia" w:ascii="黑体" w:eastAsia="黑体" w:cs="黑体"/>
          <w:color w:val="000000"/>
        </w:rPr>
        <w:t>第三条</w:t>
      </w:r>
      <w:r>
        <w:rPr>
          <w:color w:val="000000"/>
        </w:rPr>
        <w:t xml:space="preserve">  </w:t>
      </w:r>
      <w:r>
        <w:rPr>
          <w:rFonts w:hint="eastAsia" w:cs="仿宋_GB2312"/>
          <w:color w:val="000000"/>
        </w:rPr>
        <w:t>本市婺城区、金东区行政区域内禁止燃放烟花爆竹。</w:t>
      </w:r>
    </w:p>
    <w:p>
      <w:pPr>
        <w:spacing w:line="560" w:lineRule="exact"/>
        <w:ind w:firstLine="628" w:firstLineChars="200"/>
        <w:rPr>
          <w:color w:val="000000"/>
        </w:rPr>
      </w:pPr>
      <w:r>
        <w:rPr>
          <w:rFonts w:hint="eastAsia" w:cs="仿宋_GB2312"/>
          <w:color w:val="000000"/>
        </w:rPr>
        <w:t>其他县（市）城市建成区内禁止燃放烟花爆竹。县（市）人民政府可以根据本地实际情况，确定限制或者禁止燃放烟花爆竹的其他地点、时间和种类，并予以公布。</w:t>
      </w:r>
    </w:p>
    <w:p>
      <w:pPr>
        <w:spacing w:line="560" w:lineRule="exact"/>
        <w:ind w:firstLine="628" w:firstLineChars="200"/>
        <w:rPr>
          <w:color w:val="000000"/>
        </w:rPr>
      </w:pPr>
      <w:r>
        <w:rPr>
          <w:rFonts w:hint="eastAsia" w:cs="仿宋_GB2312"/>
          <w:color w:val="000000"/>
        </w:rPr>
        <w:t>市、县（市）城市建成区禁止销售烟花爆竹。</w:t>
      </w:r>
    </w:p>
    <w:p>
      <w:pPr>
        <w:spacing w:line="560" w:lineRule="exact"/>
        <w:ind w:firstLine="628" w:firstLineChars="200"/>
        <w:rPr>
          <w:color w:val="000000"/>
        </w:rPr>
      </w:pPr>
      <w:r>
        <w:rPr>
          <w:rFonts w:hint="eastAsia" w:ascii="黑体" w:eastAsia="黑体" w:cs="黑体"/>
          <w:color w:val="000000"/>
        </w:rPr>
        <w:t>第四条</w:t>
      </w:r>
      <w:r>
        <w:rPr>
          <w:color w:val="000000"/>
        </w:rPr>
        <w:t xml:space="preserve">  </w:t>
      </w:r>
      <w:r>
        <w:rPr>
          <w:rFonts w:hint="eastAsia" w:cs="仿宋_GB2312"/>
          <w:color w:val="000000"/>
        </w:rPr>
        <w:t>禁止燃放区域外，禁止在下列地点燃放烟花爆竹：</w:t>
      </w:r>
    </w:p>
    <w:p>
      <w:pPr>
        <w:spacing w:line="560" w:lineRule="exact"/>
        <w:ind w:firstLine="628" w:firstLineChars="200"/>
        <w:rPr>
          <w:color w:val="000000"/>
        </w:rPr>
      </w:pPr>
      <w:r>
        <w:rPr>
          <w:rFonts w:hint="eastAsia" w:cs="仿宋_GB2312"/>
          <w:color w:val="000000"/>
        </w:rPr>
        <w:t>（一）国家机关办公场所；</w:t>
      </w:r>
    </w:p>
    <w:p>
      <w:pPr>
        <w:spacing w:line="560" w:lineRule="exact"/>
        <w:ind w:firstLine="628" w:firstLineChars="200"/>
        <w:rPr>
          <w:color w:val="000000"/>
        </w:rPr>
      </w:pPr>
      <w:r>
        <w:rPr>
          <w:rFonts w:hint="eastAsia" w:cs="仿宋_GB2312"/>
          <w:color w:val="000000"/>
        </w:rPr>
        <w:t>（二）文物保护单位、文物保护点、历史文化街区、历史建筑、传统村落、传统建筑；</w:t>
      </w:r>
    </w:p>
    <w:p>
      <w:pPr>
        <w:spacing w:line="560" w:lineRule="exact"/>
        <w:ind w:firstLine="628" w:firstLineChars="200"/>
        <w:rPr>
          <w:color w:val="000000"/>
        </w:rPr>
      </w:pPr>
      <w:r>
        <w:rPr>
          <w:rFonts w:hint="eastAsia" w:cs="仿宋_GB2312"/>
          <w:color w:val="000000"/>
        </w:rPr>
        <w:t>（三）易燃易爆物品生产、储存单位，消防安全重点单位；</w:t>
      </w:r>
    </w:p>
    <w:p>
      <w:pPr>
        <w:spacing w:line="560" w:lineRule="exact"/>
        <w:ind w:firstLine="628" w:firstLineChars="200"/>
        <w:rPr>
          <w:color w:val="000000"/>
        </w:rPr>
      </w:pPr>
      <w:r>
        <w:rPr>
          <w:rFonts w:hint="eastAsia" w:cs="仿宋_GB2312"/>
          <w:color w:val="000000"/>
        </w:rPr>
        <w:t>（四）军事设施保护区；</w:t>
      </w:r>
    </w:p>
    <w:p>
      <w:pPr>
        <w:spacing w:line="560" w:lineRule="exact"/>
        <w:ind w:firstLine="628" w:firstLineChars="200"/>
        <w:rPr>
          <w:color w:val="000000"/>
        </w:rPr>
      </w:pPr>
      <w:r>
        <w:rPr>
          <w:rFonts w:hint="eastAsia" w:cs="仿宋_GB2312"/>
          <w:color w:val="000000"/>
        </w:rPr>
        <w:t>（五）山林等重点防火区；</w:t>
      </w:r>
    </w:p>
    <w:p>
      <w:pPr>
        <w:spacing w:line="560" w:lineRule="exact"/>
        <w:ind w:firstLine="628" w:firstLineChars="200"/>
        <w:rPr>
          <w:color w:val="000000"/>
        </w:rPr>
      </w:pPr>
      <w:r>
        <w:rPr>
          <w:rFonts w:hint="eastAsia" w:cs="仿宋_GB2312"/>
          <w:color w:val="000000"/>
        </w:rPr>
        <w:t>（六）医疗机构、幼儿园、学校、福利机构；</w:t>
      </w:r>
    </w:p>
    <w:p>
      <w:pPr>
        <w:spacing w:line="560" w:lineRule="exact"/>
        <w:ind w:firstLine="628" w:firstLineChars="200"/>
        <w:rPr>
          <w:color w:val="000000"/>
        </w:rPr>
      </w:pPr>
      <w:r>
        <w:rPr>
          <w:rFonts w:hint="eastAsia" w:cs="仿宋_GB2312"/>
          <w:color w:val="000000"/>
        </w:rPr>
        <w:t>（七）输变电设施安全保护区；</w:t>
      </w:r>
    </w:p>
    <w:p>
      <w:pPr>
        <w:spacing w:line="560" w:lineRule="exact"/>
        <w:ind w:firstLine="628" w:firstLineChars="200"/>
        <w:rPr>
          <w:color w:val="000000"/>
        </w:rPr>
      </w:pPr>
      <w:r>
        <w:rPr>
          <w:rFonts w:hint="eastAsia" w:cs="仿宋_GB2312"/>
          <w:color w:val="000000"/>
        </w:rPr>
        <w:t>（八）车站、码头、飞机场等场所以及铁路线路安全保护区；</w:t>
      </w:r>
    </w:p>
    <w:p>
      <w:pPr>
        <w:spacing w:line="560" w:lineRule="exact"/>
        <w:ind w:firstLine="628" w:firstLineChars="200"/>
        <w:rPr>
          <w:color w:val="000000"/>
        </w:rPr>
      </w:pPr>
      <w:r>
        <w:rPr>
          <w:rFonts w:hint="eastAsia" w:cs="仿宋_GB2312"/>
          <w:color w:val="000000"/>
        </w:rPr>
        <w:t>（九）商品交易市场；</w:t>
      </w:r>
    </w:p>
    <w:p>
      <w:pPr>
        <w:spacing w:line="560" w:lineRule="exact"/>
        <w:ind w:firstLine="628" w:firstLineChars="200"/>
        <w:rPr>
          <w:color w:val="000000"/>
        </w:rPr>
      </w:pPr>
      <w:r>
        <w:rPr>
          <w:rFonts w:hint="eastAsia" w:cs="仿宋_GB2312"/>
          <w:color w:val="000000"/>
        </w:rPr>
        <w:t>（十）法律、法规和县级以上地方人民政府规定的禁止燃放烟花爆竹的其他地点。</w:t>
      </w:r>
    </w:p>
    <w:p>
      <w:pPr>
        <w:spacing w:line="560" w:lineRule="exact"/>
        <w:ind w:firstLine="628" w:firstLineChars="200"/>
        <w:rPr>
          <w:color w:val="000000"/>
        </w:rPr>
      </w:pPr>
      <w:r>
        <w:rPr>
          <w:rFonts w:hint="eastAsia" w:ascii="黑体" w:eastAsia="黑体" w:cs="黑体"/>
          <w:color w:val="000000"/>
        </w:rPr>
        <w:t>第五条</w:t>
      </w:r>
      <w:r>
        <w:rPr>
          <w:color w:val="000000"/>
        </w:rPr>
        <w:t xml:space="preserve">  </w:t>
      </w:r>
      <w:r>
        <w:rPr>
          <w:rFonts w:hint="eastAsia" w:cs="仿宋_GB2312"/>
          <w:color w:val="000000"/>
        </w:rPr>
        <w:t>市、县（市、区）人民政府应当加强对禁止销售、燃放烟花爆竹工作的组织领导，统筹协调禁止销售、燃放烟花爆竹工作中的重大事项。</w:t>
      </w:r>
    </w:p>
    <w:p>
      <w:pPr>
        <w:spacing w:line="560" w:lineRule="exact"/>
        <w:ind w:firstLine="628" w:firstLineChars="200"/>
        <w:rPr>
          <w:color w:val="000000"/>
        </w:rPr>
      </w:pPr>
      <w:r>
        <w:rPr>
          <w:rFonts w:hint="eastAsia" w:cs="仿宋_GB2312"/>
          <w:color w:val="000000"/>
        </w:rPr>
        <w:t>乡（镇）人民政府、街道办事处负责宣传引导和督促本辖区单位和个人遵守本规定，做好禁止销售、燃放烟花爆竹的有关工作。</w:t>
      </w:r>
    </w:p>
    <w:p>
      <w:pPr>
        <w:spacing w:line="560" w:lineRule="exact"/>
        <w:ind w:firstLine="628" w:firstLineChars="200"/>
        <w:rPr>
          <w:color w:val="000000"/>
        </w:rPr>
      </w:pPr>
      <w:r>
        <w:rPr>
          <w:rFonts w:hint="eastAsia" w:cs="仿宋_GB2312"/>
          <w:color w:val="000000"/>
        </w:rPr>
        <w:t>村（居）民委员会、业主委员会、物业服务企业等组织配合做好禁止销售、燃放烟花爆竹管理的相关工作。</w:t>
      </w:r>
    </w:p>
    <w:p>
      <w:pPr>
        <w:spacing w:line="560" w:lineRule="exact"/>
        <w:ind w:firstLine="628" w:firstLineChars="200"/>
        <w:rPr>
          <w:color w:val="000000"/>
        </w:rPr>
      </w:pPr>
      <w:r>
        <w:rPr>
          <w:rFonts w:hint="eastAsia" w:ascii="黑体" w:eastAsia="黑体" w:cs="黑体"/>
          <w:color w:val="000000"/>
        </w:rPr>
        <w:t>第六条</w:t>
      </w:r>
      <w:r>
        <w:rPr>
          <w:color w:val="000000"/>
        </w:rPr>
        <w:t xml:space="preserve">  </w:t>
      </w:r>
      <w:r>
        <w:rPr>
          <w:rFonts w:hint="eastAsia" w:cs="仿宋_GB2312"/>
          <w:color w:val="000000"/>
        </w:rPr>
        <w:t>公安机关负责烟花爆竹的公共安全管理，依法查处违法燃放烟花爆竹和非经营者违法存放烟花爆竹等行为。</w:t>
      </w:r>
    </w:p>
    <w:p>
      <w:pPr>
        <w:spacing w:line="560" w:lineRule="exact"/>
        <w:ind w:firstLine="628" w:firstLineChars="200"/>
        <w:rPr>
          <w:color w:val="000000"/>
        </w:rPr>
      </w:pPr>
      <w:r>
        <w:rPr>
          <w:rFonts w:hint="eastAsia" w:cs="仿宋_GB2312"/>
          <w:color w:val="000000"/>
        </w:rPr>
        <w:t>应急管理部门负责烟花爆竹的安全生产监督管理，依法查处违法销售烟花爆竹的行为。</w:t>
      </w:r>
    </w:p>
    <w:p>
      <w:pPr>
        <w:spacing w:line="560" w:lineRule="exact"/>
        <w:ind w:firstLine="628" w:firstLineChars="200"/>
        <w:rPr>
          <w:color w:val="000000"/>
        </w:rPr>
      </w:pPr>
      <w:r>
        <w:rPr>
          <w:rFonts w:hint="eastAsia" w:cs="仿宋_GB2312"/>
          <w:color w:val="000000"/>
        </w:rPr>
        <w:t>教育、财政、生态环境、交通运输、农业农村、文广旅游、市场监督管理、综合行政执法等有关部门按照各自的职责，共同做好禁止销售、燃放烟花爆竹管理相关工作。</w:t>
      </w:r>
    </w:p>
    <w:p>
      <w:pPr>
        <w:spacing w:line="560" w:lineRule="exact"/>
        <w:ind w:firstLine="628" w:firstLineChars="200"/>
        <w:rPr>
          <w:color w:val="000000"/>
        </w:rPr>
      </w:pPr>
      <w:r>
        <w:rPr>
          <w:rFonts w:hint="eastAsia" w:ascii="黑体" w:eastAsia="黑体" w:cs="黑体"/>
          <w:color w:val="000000"/>
        </w:rPr>
        <w:t>第七条</w:t>
      </w:r>
      <w:r>
        <w:rPr>
          <w:color w:val="000000"/>
        </w:rPr>
        <w:t xml:space="preserve">  </w:t>
      </w:r>
      <w:r>
        <w:rPr>
          <w:rFonts w:hint="eastAsia" w:cs="仿宋_GB2312"/>
          <w:color w:val="000000"/>
        </w:rPr>
        <w:t>国家机关、企业事业单位、社会团体和其他组织，应当开展禁止销售、燃放烟花爆竹管理的宣传、教育活动，做好本单位禁止销售、燃放烟花爆竹工作。</w:t>
      </w:r>
    </w:p>
    <w:p>
      <w:pPr>
        <w:spacing w:line="560" w:lineRule="exact"/>
        <w:ind w:firstLine="628" w:firstLineChars="200"/>
        <w:rPr>
          <w:color w:val="000000"/>
        </w:rPr>
      </w:pPr>
      <w:r>
        <w:rPr>
          <w:rFonts w:hint="eastAsia" w:cs="仿宋_GB2312"/>
          <w:color w:val="000000"/>
        </w:rPr>
        <w:t>电视、广播、报刊、网络等新闻媒体，应当开展禁止销售、燃放烟花爆竹的公益性宣传。</w:t>
      </w:r>
    </w:p>
    <w:p>
      <w:pPr>
        <w:spacing w:line="560" w:lineRule="exact"/>
        <w:ind w:firstLine="628" w:firstLineChars="200"/>
        <w:rPr>
          <w:color w:val="000000"/>
        </w:rPr>
      </w:pPr>
      <w:r>
        <w:rPr>
          <w:rFonts w:hint="eastAsia" w:ascii="黑体" w:eastAsia="黑体" w:cs="黑体"/>
          <w:color w:val="000000"/>
        </w:rPr>
        <w:t>第八条</w:t>
      </w:r>
      <w:r>
        <w:rPr>
          <w:color w:val="000000"/>
        </w:rPr>
        <w:t xml:space="preserve">  </w:t>
      </w:r>
      <w:r>
        <w:rPr>
          <w:rFonts w:hint="eastAsia" w:cs="仿宋_GB2312"/>
          <w:color w:val="000000"/>
        </w:rPr>
        <w:t>政府或者其他组织，因重大公共活动或影视拍摄等特殊需要，确需在禁燃区域内举办焰火晚会以及其他焰火燃放活动的，主办单位应当按照分级管理的规定、条件和程序，向公安机关提出申请。</w:t>
      </w:r>
    </w:p>
    <w:p>
      <w:pPr>
        <w:spacing w:line="560" w:lineRule="exact"/>
        <w:ind w:firstLine="628" w:firstLineChars="200"/>
        <w:rPr>
          <w:color w:val="000000"/>
        </w:rPr>
      </w:pPr>
      <w:r>
        <w:rPr>
          <w:rFonts w:hint="eastAsia" w:cs="仿宋_GB2312"/>
          <w:color w:val="000000"/>
        </w:rPr>
        <w:t>公安机关作出准予许可决定的，应当将许可燃放的时间、地点、种类、规格、数量向社会公告。</w:t>
      </w:r>
    </w:p>
    <w:p>
      <w:pPr>
        <w:spacing w:line="560" w:lineRule="exact"/>
        <w:ind w:firstLine="628" w:firstLineChars="200"/>
        <w:rPr>
          <w:color w:val="000000"/>
        </w:rPr>
      </w:pPr>
      <w:r>
        <w:rPr>
          <w:rFonts w:hint="eastAsia" w:ascii="黑体" w:eastAsia="黑体" w:cs="黑体"/>
          <w:color w:val="000000"/>
        </w:rPr>
        <w:t>第九条</w:t>
      </w:r>
      <w:r>
        <w:rPr>
          <w:color w:val="000000"/>
        </w:rPr>
        <w:t xml:space="preserve">  </w:t>
      </w:r>
      <w:r>
        <w:rPr>
          <w:rFonts w:hint="eastAsia" w:cs="仿宋_GB2312"/>
          <w:color w:val="000000"/>
        </w:rPr>
        <w:t>禁止燃放区域、地点范围内，非烟花爆竹经营者不得存放烟花爆竹。</w:t>
      </w:r>
    </w:p>
    <w:p>
      <w:pPr>
        <w:spacing w:line="560" w:lineRule="exact"/>
        <w:ind w:firstLine="628" w:firstLineChars="200"/>
        <w:rPr>
          <w:color w:val="000000"/>
        </w:rPr>
      </w:pPr>
      <w:r>
        <w:rPr>
          <w:rFonts w:hint="eastAsia" w:ascii="黑体" w:eastAsia="黑体" w:cs="黑体"/>
          <w:color w:val="000000"/>
        </w:rPr>
        <w:t>第十条</w:t>
      </w:r>
      <w:r>
        <w:rPr>
          <w:color w:val="000000"/>
        </w:rPr>
        <w:t xml:space="preserve">  </w:t>
      </w:r>
      <w:r>
        <w:rPr>
          <w:rFonts w:hint="eastAsia" w:cs="仿宋_GB2312"/>
          <w:color w:val="000000"/>
        </w:rPr>
        <w:t>禁止燃放区域、地点范围内，承办庆典、殡仪等服务的经营者，应当书面告知服务对象禁止燃放烟花爆竹的规定。</w:t>
      </w:r>
    </w:p>
    <w:p>
      <w:pPr>
        <w:spacing w:line="560" w:lineRule="exact"/>
        <w:ind w:firstLine="628" w:firstLineChars="200"/>
        <w:rPr>
          <w:color w:val="000000"/>
        </w:rPr>
      </w:pPr>
      <w:r>
        <w:rPr>
          <w:rFonts w:hint="eastAsia" w:ascii="黑体" w:eastAsia="黑体" w:cs="黑体"/>
          <w:color w:val="000000"/>
        </w:rPr>
        <w:t>第十一条</w:t>
      </w:r>
      <w:r>
        <w:rPr>
          <w:color w:val="000000"/>
        </w:rPr>
        <w:t xml:space="preserve">  </w:t>
      </w:r>
      <w:r>
        <w:rPr>
          <w:rFonts w:hint="eastAsia" w:cs="仿宋_GB2312"/>
          <w:color w:val="000000"/>
        </w:rPr>
        <w:t>对违法销售、燃放烟花爆竹的行为，任何人应予劝阻，或者向公安机关、应急管理部门举报。</w:t>
      </w:r>
    </w:p>
    <w:p>
      <w:pPr>
        <w:spacing w:line="560" w:lineRule="exact"/>
        <w:ind w:firstLine="628" w:firstLineChars="200"/>
        <w:rPr>
          <w:color w:val="000000"/>
        </w:rPr>
      </w:pPr>
      <w:r>
        <w:rPr>
          <w:rFonts w:hint="eastAsia" w:cs="仿宋_GB2312"/>
          <w:color w:val="000000"/>
        </w:rPr>
        <w:t>公安机关、应急管理部门接到举报后应当及时受理查处，经查实可给予举报人适当奖励。</w:t>
      </w:r>
    </w:p>
    <w:p>
      <w:pPr>
        <w:spacing w:line="560" w:lineRule="exact"/>
        <w:ind w:firstLine="628" w:firstLineChars="200"/>
        <w:rPr>
          <w:color w:val="000000"/>
        </w:rPr>
      </w:pPr>
      <w:r>
        <w:rPr>
          <w:rFonts w:hint="eastAsia" w:ascii="黑体" w:eastAsia="黑体" w:cs="黑体"/>
          <w:color w:val="000000"/>
        </w:rPr>
        <w:t>第十二条</w:t>
      </w:r>
      <w:r>
        <w:rPr>
          <w:color w:val="000000"/>
        </w:rPr>
        <w:t xml:space="preserve">  </w:t>
      </w:r>
      <w:r>
        <w:rPr>
          <w:rFonts w:hint="eastAsia" w:cs="仿宋_GB2312"/>
          <w:color w:val="000000"/>
        </w:rPr>
        <w:t>违反本规定第三条第一款、第二款和第四条规定，在禁止燃放烟花爆竹的区域、地点内燃放烟花爆竹的，由公安机关责令停止燃放，处一百元以上五百元以下罚款；构成违反治安管理行为的，依法给予治安管理处罚。</w:t>
      </w:r>
    </w:p>
    <w:p>
      <w:pPr>
        <w:spacing w:line="560" w:lineRule="exact"/>
        <w:ind w:firstLine="628" w:firstLineChars="200"/>
        <w:rPr>
          <w:color w:val="000000"/>
        </w:rPr>
      </w:pPr>
      <w:r>
        <w:rPr>
          <w:rFonts w:hint="eastAsia" w:ascii="黑体" w:eastAsia="黑体" w:cs="黑体"/>
          <w:color w:val="000000"/>
        </w:rPr>
        <w:t>第十三条</w:t>
      </w:r>
      <w:r>
        <w:rPr>
          <w:color w:val="000000"/>
        </w:rPr>
        <w:t xml:space="preserve">  </w:t>
      </w:r>
      <w:r>
        <w:rPr>
          <w:rFonts w:hint="eastAsia" w:cs="仿宋_GB2312"/>
          <w:color w:val="000000"/>
        </w:rPr>
        <w:t>违反本规定第九条规定存放烟花爆竹的，由公安机关没收违法存放的烟花爆竹，可以并处一百元以上五百元以下罚款。</w:t>
      </w:r>
    </w:p>
    <w:p>
      <w:pPr>
        <w:spacing w:line="560" w:lineRule="exact"/>
        <w:ind w:firstLine="628" w:firstLineChars="200"/>
        <w:rPr>
          <w:color w:val="000000"/>
        </w:rPr>
      </w:pPr>
      <w:r>
        <w:rPr>
          <w:rFonts w:hint="eastAsia" w:ascii="黑体" w:eastAsia="黑体" w:cs="黑体"/>
          <w:color w:val="000000"/>
        </w:rPr>
        <w:t>第十四条</w:t>
      </w:r>
      <w:r>
        <w:rPr>
          <w:color w:val="000000"/>
        </w:rPr>
        <w:t xml:space="preserve">  </w:t>
      </w:r>
      <w:r>
        <w:rPr>
          <w:rFonts w:hint="eastAsia" w:cs="仿宋_GB2312"/>
          <w:color w:val="000000"/>
        </w:rPr>
        <w:t>违反本规定第十条规定，未履行书面告知义务发生燃放烟花爆竹行为的，由公安机关予以警告，可以处一百元以上五百元以下罚款。</w:t>
      </w:r>
    </w:p>
    <w:p>
      <w:pPr>
        <w:spacing w:line="560" w:lineRule="exact"/>
        <w:ind w:firstLine="628" w:firstLineChars="200"/>
        <w:rPr>
          <w:color w:val="000000"/>
        </w:rPr>
      </w:pPr>
      <w:r>
        <w:rPr>
          <w:rFonts w:hint="eastAsia" w:ascii="黑体" w:eastAsia="黑体" w:cs="黑体"/>
          <w:color w:val="000000"/>
        </w:rPr>
        <w:t>第十五条</w:t>
      </w:r>
      <w:r>
        <w:rPr>
          <w:color w:val="000000"/>
        </w:rPr>
        <w:t xml:space="preserve">  </w:t>
      </w:r>
      <w:r>
        <w:rPr>
          <w:rFonts w:hint="eastAsia" w:cs="仿宋_GB2312"/>
          <w:color w:val="000000"/>
        </w:rPr>
        <w:t>负有禁止销售、燃放烟花爆竹管理职责的单位及其工作人员，有下列行为之一的，由有权机关按照管理权限，对直接负责的主管人员和其他直接责任人员依法给予处理：</w:t>
      </w:r>
    </w:p>
    <w:p>
      <w:pPr>
        <w:spacing w:line="560" w:lineRule="exact"/>
        <w:ind w:firstLine="628" w:firstLineChars="200"/>
        <w:rPr>
          <w:color w:val="000000"/>
        </w:rPr>
      </w:pPr>
      <w:r>
        <w:rPr>
          <w:rFonts w:hint="eastAsia" w:cs="仿宋_GB2312"/>
          <w:color w:val="000000"/>
        </w:rPr>
        <w:t>（一）不履行禁止销售燃放烟花爆竹管理职责的；</w:t>
      </w:r>
    </w:p>
    <w:p>
      <w:pPr>
        <w:spacing w:line="560" w:lineRule="exact"/>
        <w:ind w:firstLine="628" w:firstLineChars="200"/>
        <w:rPr>
          <w:color w:val="000000"/>
        </w:rPr>
      </w:pPr>
      <w:r>
        <w:rPr>
          <w:rFonts w:hint="eastAsia" w:cs="仿宋_GB2312"/>
          <w:color w:val="000000"/>
        </w:rPr>
        <w:t>（二）不受理、不及时核查处理举报的；</w:t>
      </w:r>
    </w:p>
    <w:p>
      <w:pPr>
        <w:spacing w:line="560" w:lineRule="exact"/>
        <w:ind w:firstLine="628" w:firstLineChars="200"/>
        <w:rPr>
          <w:color w:val="000000"/>
        </w:rPr>
      </w:pPr>
      <w:r>
        <w:rPr>
          <w:rFonts w:hint="eastAsia" w:cs="仿宋_GB2312"/>
          <w:color w:val="000000"/>
        </w:rPr>
        <w:t>（三）未依法查处违法销售燃放烟花爆竹行为的；</w:t>
      </w:r>
    </w:p>
    <w:p>
      <w:pPr>
        <w:spacing w:line="560" w:lineRule="exact"/>
        <w:ind w:firstLine="628" w:firstLineChars="200"/>
        <w:rPr>
          <w:color w:val="000000"/>
        </w:rPr>
      </w:pPr>
      <w:r>
        <w:rPr>
          <w:rFonts w:hint="eastAsia" w:cs="仿宋_GB2312"/>
          <w:color w:val="000000"/>
        </w:rPr>
        <w:t>（四）其他滥用职权、玩忽职守、徇私舞弊的行为。</w:t>
      </w:r>
    </w:p>
    <w:p>
      <w:pPr>
        <w:spacing w:line="560" w:lineRule="exact"/>
        <w:ind w:firstLine="628" w:firstLineChars="200"/>
        <w:rPr>
          <w:color w:val="000000"/>
        </w:rPr>
      </w:pPr>
      <w:r>
        <w:rPr>
          <w:rFonts w:hint="eastAsia" w:ascii="黑体" w:eastAsia="黑体" w:cs="黑体"/>
          <w:color w:val="000000"/>
        </w:rPr>
        <w:t>第十六条</w:t>
      </w:r>
      <w:r>
        <w:rPr>
          <w:color w:val="000000"/>
        </w:rPr>
        <w:t xml:space="preserve">  </w:t>
      </w:r>
      <w:r>
        <w:rPr>
          <w:rFonts w:hint="eastAsia" w:cs="仿宋_GB2312"/>
          <w:color w:val="000000"/>
        </w:rPr>
        <w:t>本规定自</w:t>
      </w:r>
      <w:r>
        <w:rPr>
          <w:color w:val="000000"/>
        </w:rPr>
        <w:t>2020</w:t>
      </w:r>
      <w:r>
        <w:rPr>
          <w:rFonts w:hint="eastAsia" w:cs="仿宋_GB2312"/>
          <w:color w:val="000000"/>
        </w:rPr>
        <w:t>年</w:t>
      </w:r>
      <w:r>
        <w:rPr>
          <w:color w:val="000000"/>
        </w:rPr>
        <w:t>1</w:t>
      </w:r>
      <w:r>
        <w:rPr>
          <w:rFonts w:hint="eastAsia" w:cs="仿宋_GB2312"/>
          <w:color w:val="000000"/>
        </w:rPr>
        <w:t>月</w:t>
      </w:r>
      <w:r>
        <w:rPr>
          <w:color w:val="000000"/>
        </w:rPr>
        <w:t>1</w:t>
      </w:r>
      <w:r>
        <w:rPr>
          <w:rFonts w:hint="eastAsia" w:cs="仿宋_GB2312"/>
          <w:color w:val="000000"/>
        </w:rPr>
        <w:t>日起施行。金华市人民政府发布的《金华市销售</w:t>
      </w:r>
      <w:bookmarkStart w:id="0" w:name="_GoBack"/>
      <w:bookmarkEnd w:id="0"/>
      <w:r>
        <w:rPr>
          <w:rFonts w:hint="eastAsia" w:cs="仿宋_GB2312"/>
          <w:color w:val="000000"/>
        </w:rPr>
        <w:t>燃放烟花爆竹管理办法》同时废止。</w:t>
      </w:r>
    </w:p>
    <w:sectPr>
      <w:footerReference r:id="rId3" w:type="default"/>
      <w:footerReference r:id="rId4" w:type="even"/>
      <w:pgSz w:w="11906" w:h="16838"/>
      <w:pgMar w:top="2013" w:right="1474" w:bottom="1899" w:left="1588" w:header="851" w:footer="1037" w:gutter="0"/>
      <w:cols w:space="720" w:num="1"/>
      <w:docGrid w:type="linesAndChars" w:linePitch="590" w:charSpace="122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黑体_GBK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spacing w:line="478" w:lineRule="auto"/>
      <w:ind w:right="308" w:rightChars="100"/>
      <w:jc w:val="right"/>
      <w:rPr>
        <w:rFonts w:ascii="楷体_GB2312" w:eastAsia="楷体_GB2312"/>
        <w:sz w:val="28"/>
        <w:szCs w:val="28"/>
      </w:rPr>
    </w:pPr>
    <w:r>
      <w:rPr>
        <w:rStyle w:val="5"/>
        <w:rFonts w:ascii="宋体" w:hAnsi="宋体" w:eastAsia="宋体" w:cs="宋体"/>
        <w:sz w:val="28"/>
        <w:szCs w:val="28"/>
      </w:rPr>
      <w:t xml:space="preserve">— </w:t>
    </w:r>
    <w:r>
      <w:rPr>
        <w:rStyle w:val="5"/>
        <w:rFonts w:ascii="宋体" w:hAnsi="宋体" w:eastAsia="宋体" w:cs="宋体"/>
        <w:sz w:val="28"/>
        <w:szCs w:val="28"/>
      </w:rPr>
      <w:fldChar w:fldCharType="begin"/>
    </w:r>
    <w:r>
      <w:rPr>
        <w:rStyle w:val="5"/>
        <w:rFonts w:ascii="宋体" w:hAnsi="宋体" w:eastAsia="宋体" w:cs="宋体"/>
        <w:sz w:val="28"/>
        <w:szCs w:val="28"/>
      </w:rPr>
      <w:instrText xml:space="preserve"> PAGE \* MERGEFORMAT </w:instrText>
    </w:r>
    <w:r>
      <w:rPr>
        <w:rStyle w:val="5"/>
        <w:rFonts w:ascii="宋体" w:hAnsi="宋体" w:eastAsia="宋体" w:cs="宋体"/>
        <w:sz w:val="28"/>
        <w:szCs w:val="28"/>
      </w:rPr>
      <w:fldChar w:fldCharType="separate"/>
    </w:r>
    <w:r>
      <w:t>3</w:t>
    </w:r>
    <w:r>
      <w:rPr>
        <w:rStyle w:val="5"/>
        <w:rFonts w:ascii="宋体" w:hAnsi="宋体" w:eastAsia="宋体" w:cs="宋体"/>
        <w:sz w:val="28"/>
        <w:szCs w:val="28"/>
      </w:rPr>
      <w:fldChar w:fldCharType="end"/>
    </w:r>
    <w:r>
      <w:rPr>
        <w:rStyle w:val="5"/>
        <w:rFonts w:ascii="宋体" w:hAnsi="宋体" w:eastAsia="宋体" w:cs="宋体"/>
        <w:sz w:val="28"/>
        <w:szCs w:val="28"/>
      </w:rPr>
      <w:t>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471" w:lineRule="auto"/>
      <w:ind w:left="308" w:leftChars="100"/>
      <w:jc w:val="left"/>
      <w:rPr>
        <w:rStyle w:val="5"/>
        <w:rFonts w:ascii="宋体" w:hAnsi="宋体" w:eastAsia="宋体" w:cs="宋体"/>
        <w:sz w:val="28"/>
        <w:szCs w:val="28"/>
      </w:rPr>
    </w:pPr>
    <w:r>
      <w:rPr>
        <w:rStyle w:val="5"/>
        <w:rFonts w:ascii="宋体" w:hAnsi="宋体" w:eastAsia="宋体" w:cs="宋体"/>
        <w:sz w:val="28"/>
        <w:szCs w:val="28"/>
      </w:rPr>
      <w:t xml:space="preserve">— </w:t>
    </w:r>
    <w:r>
      <w:rPr>
        <w:rStyle w:val="5"/>
        <w:rFonts w:ascii="宋体" w:hAnsi="宋体" w:eastAsia="宋体" w:cs="宋体"/>
        <w:sz w:val="28"/>
        <w:szCs w:val="28"/>
      </w:rPr>
      <w:fldChar w:fldCharType="begin"/>
    </w:r>
    <w:r>
      <w:rPr>
        <w:rStyle w:val="5"/>
        <w:rFonts w:ascii="宋体" w:hAnsi="宋体" w:eastAsia="宋体" w:cs="宋体"/>
        <w:sz w:val="28"/>
        <w:szCs w:val="28"/>
      </w:rPr>
      <w:instrText xml:space="preserve"> PAGE </w:instrText>
    </w:r>
    <w:r>
      <w:rPr>
        <w:rStyle w:val="5"/>
        <w:rFonts w:ascii="宋体" w:hAnsi="宋体" w:eastAsia="宋体" w:cs="宋体"/>
        <w:sz w:val="28"/>
        <w:szCs w:val="28"/>
      </w:rPr>
      <w:fldChar w:fldCharType="separate"/>
    </w:r>
    <w:r>
      <w:rPr>
        <w:rStyle w:val="5"/>
        <w:rFonts w:ascii="宋体" w:hAnsi="宋体" w:eastAsia="宋体" w:cs="宋体"/>
        <w:sz w:val="28"/>
        <w:szCs w:val="28"/>
      </w:rPr>
      <w:t>4</w:t>
    </w:r>
    <w:r>
      <w:rPr>
        <w:rStyle w:val="5"/>
        <w:rFonts w:ascii="宋体" w:hAnsi="宋体" w:eastAsia="宋体" w:cs="宋体"/>
        <w:sz w:val="28"/>
        <w:szCs w:val="28"/>
      </w:rPr>
      <w:fldChar w:fldCharType="end"/>
    </w:r>
    <w:r>
      <w:rPr>
        <w:rStyle w:val="5"/>
        <w:rFonts w:ascii="宋体" w:hAnsi="宋体" w:eastAsia="宋体" w:cs="宋体"/>
        <w:sz w:val="28"/>
        <w:szCs w:val="28"/>
      </w:rPr>
      <w:t>—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0">
      <w:start w:val="1"/>
      <w:numFmt w:val="chineseCountingThousand"/>
      <w:pStyle w:val="12"/>
      <w:suff w:val="space"/>
      <w:lvlText w:val="第%1章"/>
      <w:lvlJc w:val="left"/>
      <w:pPr>
        <w:ind w:firstLine="454"/>
      </w:pPr>
      <w:rPr>
        <w:rFonts w:hint="eastAsia" w:eastAsia="方正黑体_GBK"/>
        <w:color w:val="auto"/>
      </w:rPr>
    </w:lvl>
    <w:lvl w:ilvl="1" w:tentative="0">
      <w:start w:val="1"/>
      <w:numFmt w:val="chineseCountingThousand"/>
      <w:suff w:val="space"/>
      <w:lvlText w:val="第%2条"/>
      <w:lvlJc w:val="left"/>
      <w:rPr>
        <w:rFonts w:hint="eastAsia" w:eastAsia="方正黑体_GBK"/>
        <w:color w:val="auto"/>
      </w:rPr>
    </w:lvl>
    <w:lvl w:ilvl="2" w:tentative="0">
      <w:start w:val="1"/>
      <w:numFmt w:val="chineseCountingThousand"/>
      <w:suff w:val="space"/>
      <w:lvlText w:val="第%3条"/>
      <w:lvlJc w:val="left"/>
      <w:pPr>
        <w:ind w:firstLine="454"/>
      </w:pPr>
      <w:rPr>
        <w:rFonts w:hint="eastAsia"/>
        <w:color w:val="auto"/>
      </w:rPr>
    </w:lvl>
    <w:lvl w:ilvl="3" w:tentative="0">
      <w:start w:val="1"/>
      <w:numFmt w:val="chineseCountingThousand"/>
      <w:suff w:val="space"/>
      <w:lvlText w:val="（%4）"/>
      <w:lvlJc w:val="left"/>
      <w:pPr>
        <w:ind w:firstLine="340"/>
      </w:pPr>
      <w:rPr>
        <w:rFonts w:hint="eastAsia"/>
        <w:color w:val="auto"/>
      </w:rPr>
    </w:lvl>
    <w:lvl w:ilvl="4" w:tentative="0">
      <w:start w:val="1"/>
      <w:numFmt w:val="decimal"/>
      <w:suff w:val="space"/>
      <w:lvlText w:val="%5．"/>
      <w:lvlJc w:val="left"/>
      <w:pPr>
        <w:ind w:firstLine="454"/>
      </w:pPr>
      <w:rPr>
        <w:rFonts w:hint="eastAsia"/>
        <w:color w:val="auto"/>
      </w:rPr>
    </w:lvl>
    <w:lvl w:ilvl="5" w:tentative="0">
      <w:start w:val="1"/>
      <w:numFmt w:val="decimal"/>
      <w:suff w:val="space"/>
      <w:lvlText w:val="（%6）"/>
      <w:lvlJc w:val="left"/>
      <w:pPr>
        <w:ind w:firstLine="340"/>
      </w:pPr>
      <w:rPr>
        <w:rFonts w:hint="eastAsia"/>
        <w:color w:val="auto"/>
      </w:rPr>
    </w:lvl>
    <w:lvl w:ilvl="6" w:tentative="0">
      <w:start w:val="1"/>
      <w:numFmt w:val="decimalEnclosedCircle"/>
      <w:suff w:val="space"/>
      <w:lvlText w:val="%7 "/>
      <w:lvlJc w:val="left"/>
      <w:pPr>
        <w:ind w:firstLine="454"/>
      </w:pPr>
      <w:rPr>
        <w:rFonts w:hint="eastAsia"/>
        <w:color w:val="auto"/>
      </w:rPr>
    </w:lvl>
    <w:lvl w:ilvl="7" w:tentative="0">
      <w:start w:val="1"/>
      <w:numFmt w:val="decimal"/>
      <w:suff w:val="space"/>
      <w:lvlText w:val="%8）"/>
      <w:lvlJc w:val="left"/>
      <w:pPr>
        <w:ind w:firstLine="454"/>
      </w:pPr>
      <w:rPr>
        <w:rFonts w:hint="eastAsia"/>
        <w:color w:val="auto"/>
      </w:rPr>
    </w:lvl>
    <w:lvl w:ilvl="8" w:tentative="0">
      <w:start w:val="1"/>
      <w:numFmt w:val="none"/>
      <w:suff w:val="space"/>
      <w:lvlText w:val="a．"/>
      <w:lvlJc w:val="left"/>
      <w:pPr>
        <w:ind w:firstLine="454"/>
      </w:pPr>
      <w:rPr>
        <w:rFonts w:hint="eastAsia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720"/>
  <w:doNotHyphenateCaps/>
  <w:evenAndOddHeaders w:val="1"/>
  <w:drawingGridHorizontalSpacing w:val="308"/>
  <w:drawingGridVerticalSpacing w:val="295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iDocStyle" w:val="2"/>
  </w:docVars>
  <w:rsids>
    <w:rsidRoot w:val="0FE0082F"/>
    <w:rsid w:val="00047C97"/>
    <w:rsid w:val="00070AA8"/>
    <w:rsid w:val="00071F92"/>
    <w:rsid w:val="000A0520"/>
    <w:rsid w:val="001B173E"/>
    <w:rsid w:val="002664D4"/>
    <w:rsid w:val="0030771A"/>
    <w:rsid w:val="003823E9"/>
    <w:rsid w:val="00383B05"/>
    <w:rsid w:val="0053402F"/>
    <w:rsid w:val="005B45F5"/>
    <w:rsid w:val="006608DB"/>
    <w:rsid w:val="00736523"/>
    <w:rsid w:val="00770F96"/>
    <w:rsid w:val="007E7972"/>
    <w:rsid w:val="00821AE1"/>
    <w:rsid w:val="008F2BDF"/>
    <w:rsid w:val="009507EB"/>
    <w:rsid w:val="00A0649E"/>
    <w:rsid w:val="00B24C18"/>
    <w:rsid w:val="00B91AF3"/>
    <w:rsid w:val="00BE6D5E"/>
    <w:rsid w:val="00C26BE1"/>
    <w:rsid w:val="00D15743"/>
    <w:rsid w:val="00D57722"/>
    <w:rsid w:val="00D743F1"/>
    <w:rsid w:val="00EB7A3D"/>
    <w:rsid w:val="00FD4F9E"/>
    <w:rsid w:val="012F690B"/>
    <w:rsid w:val="016D1377"/>
    <w:rsid w:val="018C7A5D"/>
    <w:rsid w:val="01C27AAF"/>
    <w:rsid w:val="02226A01"/>
    <w:rsid w:val="022A796F"/>
    <w:rsid w:val="023B20B0"/>
    <w:rsid w:val="024E78A8"/>
    <w:rsid w:val="027F5347"/>
    <w:rsid w:val="02AD65F0"/>
    <w:rsid w:val="02B91B75"/>
    <w:rsid w:val="02D15216"/>
    <w:rsid w:val="031B6986"/>
    <w:rsid w:val="033B51C1"/>
    <w:rsid w:val="03EC7C34"/>
    <w:rsid w:val="042E391A"/>
    <w:rsid w:val="0475505E"/>
    <w:rsid w:val="04F21539"/>
    <w:rsid w:val="053F46ED"/>
    <w:rsid w:val="056117E3"/>
    <w:rsid w:val="057A1088"/>
    <w:rsid w:val="05F942D3"/>
    <w:rsid w:val="05FB519C"/>
    <w:rsid w:val="069731DA"/>
    <w:rsid w:val="07620A32"/>
    <w:rsid w:val="07FB2CF3"/>
    <w:rsid w:val="085C5EDB"/>
    <w:rsid w:val="089B030C"/>
    <w:rsid w:val="09364E8C"/>
    <w:rsid w:val="0A502B7A"/>
    <w:rsid w:val="0A5D5370"/>
    <w:rsid w:val="0B0758A7"/>
    <w:rsid w:val="0B7948E1"/>
    <w:rsid w:val="0C1C13CD"/>
    <w:rsid w:val="0C1D4A81"/>
    <w:rsid w:val="0C9F4C78"/>
    <w:rsid w:val="0CBF2113"/>
    <w:rsid w:val="0D1D18C1"/>
    <w:rsid w:val="0D381B5D"/>
    <w:rsid w:val="0DA77EDD"/>
    <w:rsid w:val="0DB314C5"/>
    <w:rsid w:val="0DDB40CB"/>
    <w:rsid w:val="0E1C6318"/>
    <w:rsid w:val="0EED5E99"/>
    <w:rsid w:val="0F244062"/>
    <w:rsid w:val="0F5D363C"/>
    <w:rsid w:val="0F795CDE"/>
    <w:rsid w:val="0F932FC3"/>
    <w:rsid w:val="0FE0082F"/>
    <w:rsid w:val="109C6483"/>
    <w:rsid w:val="10C51440"/>
    <w:rsid w:val="10EB612C"/>
    <w:rsid w:val="110E2421"/>
    <w:rsid w:val="110F5DB1"/>
    <w:rsid w:val="112224C9"/>
    <w:rsid w:val="114C2C18"/>
    <w:rsid w:val="11BB61A0"/>
    <w:rsid w:val="11D5017C"/>
    <w:rsid w:val="11FB0C6A"/>
    <w:rsid w:val="1260094C"/>
    <w:rsid w:val="126C1014"/>
    <w:rsid w:val="12BF4A52"/>
    <w:rsid w:val="12BF4F74"/>
    <w:rsid w:val="131610AD"/>
    <w:rsid w:val="132735E8"/>
    <w:rsid w:val="13760AF9"/>
    <w:rsid w:val="139A227B"/>
    <w:rsid w:val="14192022"/>
    <w:rsid w:val="145A36B5"/>
    <w:rsid w:val="14792463"/>
    <w:rsid w:val="14BC68CC"/>
    <w:rsid w:val="14F040E7"/>
    <w:rsid w:val="15DF2BDC"/>
    <w:rsid w:val="16383B80"/>
    <w:rsid w:val="16584ECC"/>
    <w:rsid w:val="165F0016"/>
    <w:rsid w:val="16B87F60"/>
    <w:rsid w:val="17377C58"/>
    <w:rsid w:val="17B1234E"/>
    <w:rsid w:val="18276355"/>
    <w:rsid w:val="18FA44BA"/>
    <w:rsid w:val="18FF762A"/>
    <w:rsid w:val="190117A2"/>
    <w:rsid w:val="197056B8"/>
    <w:rsid w:val="19AA2B1C"/>
    <w:rsid w:val="1A27316A"/>
    <w:rsid w:val="1B6C448D"/>
    <w:rsid w:val="1B901EB6"/>
    <w:rsid w:val="1BC73625"/>
    <w:rsid w:val="1C185C06"/>
    <w:rsid w:val="1C433A5F"/>
    <w:rsid w:val="1C880FFD"/>
    <w:rsid w:val="1D167A93"/>
    <w:rsid w:val="1D6567C6"/>
    <w:rsid w:val="1D88221C"/>
    <w:rsid w:val="1EBC1A82"/>
    <w:rsid w:val="1F2817D3"/>
    <w:rsid w:val="1F4006EF"/>
    <w:rsid w:val="1FC15723"/>
    <w:rsid w:val="1FFC6BFB"/>
    <w:rsid w:val="20950564"/>
    <w:rsid w:val="209A3FD3"/>
    <w:rsid w:val="20E86908"/>
    <w:rsid w:val="21672AEF"/>
    <w:rsid w:val="21722176"/>
    <w:rsid w:val="21F06002"/>
    <w:rsid w:val="21FA6D84"/>
    <w:rsid w:val="22611DF0"/>
    <w:rsid w:val="226F638E"/>
    <w:rsid w:val="228355F0"/>
    <w:rsid w:val="229C47D4"/>
    <w:rsid w:val="236964A7"/>
    <w:rsid w:val="242328C6"/>
    <w:rsid w:val="244F369D"/>
    <w:rsid w:val="24F95938"/>
    <w:rsid w:val="25A46E8C"/>
    <w:rsid w:val="25CD032D"/>
    <w:rsid w:val="25F13BD3"/>
    <w:rsid w:val="260028E0"/>
    <w:rsid w:val="26143F86"/>
    <w:rsid w:val="26EE162C"/>
    <w:rsid w:val="27861C55"/>
    <w:rsid w:val="27B96F91"/>
    <w:rsid w:val="283163FF"/>
    <w:rsid w:val="288F3120"/>
    <w:rsid w:val="29D5336F"/>
    <w:rsid w:val="29D81C33"/>
    <w:rsid w:val="2A464AB5"/>
    <w:rsid w:val="2A7C6217"/>
    <w:rsid w:val="2A994270"/>
    <w:rsid w:val="2B1505C7"/>
    <w:rsid w:val="2BA81853"/>
    <w:rsid w:val="2BAE2EDC"/>
    <w:rsid w:val="2BE2786A"/>
    <w:rsid w:val="2C367966"/>
    <w:rsid w:val="2C644FDA"/>
    <w:rsid w:val="2C9074EB"/>
    <w:rsid w:val="2CB97AED"/>
    <w:rsid w:val="2CD466F6"/>
    <w:rsid w:val="2CEB3FB8"/>
    <w:rsid w:val="2D4659C8"/>
    <w:rsid w:val="2D511857"/>
    <w:rsid w:val="2DBD7057"/>
    <w:rsid w:val="2E121FB9"/>
    <w:rsid w:val="2E48363C"/>
    <w:rsid w:val="2ECC7E14"/>
    <w:rsid w:val="2F4F23A5"/>
    <w:rsid w:val="2F5E45C6"/>
    <w:rsid w:val="2FA6143A"/>
    <w:rsid w:val="30121809"/>
    <w:rsid w:val="314E6206"/>
    <w:rsid w:val="314F05F8"/>
    <w:rsid w:val="317F2CC2"/>
    <w:rsid w:val="32243458"/>
    <w:rsid w:val="322B186C"/>
    <w:rsid w:val="331A42E4"/>
    <w:rsid w:val="332C28EF"/>
    <w:rsid w:val="33312BE8"/>
    <w:rsid w:val="334C61D3"/>
    <w:rsid w:val="343A6CE0"/>
    <w:rsid w:val="3455667B"/>
    <w:rsid w:val="347C66FC"/>
    <w:rsid w:val="354A33CA"/>
    <w:rsid w:val="358715AE"/>
    <w:rsid w:val="35B900CE"/>
    <w:rsid w:val="35FB48BB"/>
    <w:rsid w:val="36B701C2"/>
    <w:rsid w:val="36D652E4"/>
    <w:rsid w:val="37714A2D"/>
    <w:rsid w:val="37C10485"/>
    <w:rsid w:val="38234CA6"/>
    <w:rsid w:val="385200EE"/>
    <w:rsid w:val="38575903"/>
    <w:rsid w:val="38604F16"/>
    <w:rsid w:val="38D01EDB"/>
    <w:rsid w:val="38FF4558"/>
    <w:rsid w:val="39B62B46"/>
    <w:rsid w:val="39BF6712"/>
    <w:rsid w:val="39D06321"/>
    <w:rsid w:val="3A312289"/>
    <w:rsid w:val="3B3974D3"/>
    <w:rsid w:val="3B495673"/>
    <w:rsid w:val="3B617677"/>
    <w:rsid w:val="3C566319"/>
    <w:rsid w:val="3C5F7F6C"/>
    <w:rsid w:val="3C844E55"/>
    <w:rsid w:val="3DAC7411"/>
    <w:rsid w:val="3E146492"/>
    <w:rsid w:val="3E551E78"/>
    <w:rsid w:val="3F0D2B51"/>
    <w:rsid w:val="3F1C4CD1"/>
    <w:rsid w:val="3F2B4617"/>
    <w:rsid w:val="3F553ADD"/>
    <w:rsid w:val="3F565079"/>
    <w:rsid w:val="3F805E9F"/>
    <w:rsid w:val="3FE53132"/>
    <w:rsid w:val="40965C4E"/>
    <w:rsid w:val="410E718C"/>
    <w:rsid w:val="41155A54"/>
    <w:rsid w:val="419A0CED"/>
    <w:rsid w:val="41D2132A"/>
    <w:rsid w:val="41EE17B9"/>
    <w:rsid w:val="41FA5E85"/>
    <w:rsid w:val="428A4BFB"/>
    <w:rsid w:val="42B16CA5"/>
    <w:rsid w:val="42DF0DC2"/>
    <w:rsid w:val="42ED3154"/>
    <w:rsid w:val="4309375D"/>
    <w:rsid w:val="431C1221"/>
    <w:rsid w:val="43370718"/>
    <w:rsid w:val="434F3C5C"/>
    <w:rsid w:val="44E8249C"/>
    <w:rsid w:val="45B50B93"/>
    <w:rsid w:val="45B52AE9"/>
    <w:rsid w:val="46122C4E"/>
    <w:rsid w:val="461E6DF3"/>
    <w:rsid w:val="46E05398"/>
    <w:rsid w:val="47466D15"/>
    <w:rsid w:val="47E22611"/>
    <w:rsid w:val="47FC3610"/>
    <w:rsid w:val="48C412E4"/>
    <w:rsid w:val="48C52771"/>
    <w:rsid w:val="48D3029C"/>
    <w:rsid w:val="48EF15ED"/>
    <w:rsid w:val="496B5534"/>
    <w:rsid w:val="49DE5548"/>
    <w:rsid w:val="49EB253B"/>
    <w:rsid w:val="4A1168ED"/>
    <w:rsid w:val="4ADF5065"/>
    <w:rsid w:val="4B4C4A6E"/>
    <w:rsid w:val="4B5B2430"/>
    <w:rsid w:val="4B5C3509"/>
    <w:rsid w:val="4C0B6D51"/>
    <w:rsid w:val="4C883D5B"/>
    <w:rsid w:val="4E226030"/>
    <w:rsid w:val="4EFD438E"/>
    <w:rsid w:val="4F047901"/>
    <w:rsid w:val="4F850153"/>
    <w:rsid w:val="50DA6634"/>
    <w:rsid w:val="510C4885"/>
    <w:rsid w:val="514A2C7F"/>
    <w:rsid w:val="51C904BB"/>
    <w:rsid w:val="52567F7A"/>
    <w:rsid w:val="53381997"/>
    <w:rsid w:val="537B3DF2"/>
    <w:rsid w:val="54A50AC7"/>
    <w:rsid w:val="554A5BD2"/>
    <w:rsid w:val="5634122E"/>
    <w:rsid w:val="5690074F"/>
    <w:rsid w:val="56965D1B"/>
    <w:rsid w:val="57605E4C"/>
    <w:rsid w:val="57A61379"/>
    <w:rsid w:val="583E50C1"/>
    <w:rsid w:val="585D31CB"/>
    <w:rsid w:val="58936D4A"/>
    <w:rsid w:val="58EE07A6"/>
    <w:rsid w:val="5931612C"/>
    <w:rsid w:val="5A5C016E"/>
    <w:rsid w:val="5B0F6E54"/>
    <w:rsid w:val="5B1C1E7E"/>
    <w:rsid w:val="5B526AEB"/>
    <w:rsid w:val="5C9757AC"/>
    <w:rsid w:val="5CA478B6"/>
    <w:rsid w:val="5CC44E77"/>
    <w:rsid w:val="5CC54FDA"/>
    <w:rsid w:val="5D54747C"/>
    <w:rsid w:val="5D55210A"/>
    <w:rsid w:val="5D913F02"/>
    <w:rsid w:val="5DE014A7"/>
    <w:rsid w:val="5E041278"/>
    <w:rsid w:val="5E557CCE"/>
    <w:rsid w:val="5E9A6245"/>
    <w:rsid w:val="5ED7229B"/>
    <w:rsid w:val="607E32FD"/>
    <w:rsid w:val="61221544"/>
    <w:rsid w:val="614A2483"/>
    <w:rsid w:val="61A86256"/>
    <w:rsid w:val="62B875B1"/>
    <w:rsid w:val="62CB16FB"/>
    <w:rsid w:val="62EB05B2"/>
    <w:rsid w:val="633A04D8"/>
    <w:rsid w:val="63886FFF"/>
    <w:rsid w:val="63B1467B"/>
    <w:rsid w:val="63BD4E60"/>
    <w:rsid w:val="63D60BB3"/>
    <w:rsid w:val="63E47526"/>
    <w:rsid w:val="6429446D"/>
    <w:rsid w:val="645A3EE7"/>
    <w:rsid w:val="65B43576"/>
    <w:rsid w:val="65C15A1F"/>
    <w:rsid w:val="66454EC1"/>
    <w:rsid w:val="66783EE2"/>
    <w:rsid w:val="66A64EEF"/>
    <w:rsid w:val="66AA4452"/>
    <w:rsid w:val="67522697"/>
    <w:rsid w:val="67A607A4"/>
    <w:rsid w:val="67AE7AFF"/>
    <w:rsid w:val="67E25196"/>
    <w:rsid w:val="67F22A6B"/>
    <w:rsid w:val="680020E2"/>
    <w:rsid w:val="68067298"/>
    <w:rsid w:val="68892570"/>
    <w:rsid w:val="69E546FF"/>
    <w:rsid w:val="6A2208E0"/>
    <w:rsid w:val="6A570C85"/>
    <w:rsid w:val="6AA924D7"/>
    <w:rsid w:val="6AAA5F55"/>
    <w:rsid w:val="6AD47EC2"/>
    <w:rsid w:val="6B5A17AD"/>
    <w:rsid w:val="6B6D70E5"/>
    <w:rsid w:val="6B9E3C7B"/>
    <w:rsid w:val="6BC33E0F"/>
    <w:rsid w:val="6C99562C"/>
    <w:rsid w:val="6D0614BC"/>
    <w:rsid w:val="6D1F656F"/>
    <w:rsid w:val="6DC72BAB"/>
    <w:rsid w:val="6E035F3F"/>
    <w:rsid w:val="6F030EBC"/>
    <w:rsid w:val="6F42593C"/>
    <w:rsid w:val="6F4E2A8B"/>
    <w:rsid w:val="6FEF2B78"/>
    <w:rsid w:val="6FF37879"/>
    <w:rsid w:val="6FF440BA"/>
    <w:rsid w:val="70512DB2"/>
    <w:rsid w:val="709204E2"/>
    <w:rsid w:val="71465240"/>
    <w:rsid w:val="714C6B88"/>
    <w:rsid w:val="72412AEB"/>
    <w:rsid w:val="72640657"/>
    <w:rsid w:val="72662174"/>
    <w:rsid w:val="729C2283"/>
    <w:rsid w:val="72A22A1E"/>
    <w:rsid w:val="73234B7B"/>
    <w:rsid w:val="7413324A"/>
    <w:rsid w:val="74516EE2"/>
    <w:rsid w:val="745D5C72"/>
    <w:rsid w:val="748E6FC3"/>
    <w:rsid w:val="74B16002"/>
    <w:rsid w:val="74E113E9"/>
    <w:rsid w:val="74E63E9A"/>
    <w:rsid w:val="75044EF3"/>
    <w:rsid w:val="751A2454"/>
    <w:rsid w:val="7530215F"/>
    <w:rsid w:val="753E6906"/>
    <w:rsid w:val="75A13D09"/>
    <w:rsid w:val="75DA7E23"/>
    <w:rsid w:val="76B37EED"/>
    <w:rsid w:val="76DF0815"/>
    <w:rsid w:val="76F42FC7"/>
    <w:rsid w:val="77AF566A"/>
    <w:rsid w:val="77C82E43"/>
    <w:rsid w:val="77DA09D5"/>
    <w:rsid w:val="77F5035D"/>
    <w:rsid w:val="78A358FC"/>
    <w:rsid w:val="78AF2A76"/>
    <w:rsid w:val="79D23D9B"/>
    <w:rsid w:val="7A7470CE"/>
    <w:rsid w:val="7A804C71"/>
    <w:rsid w:val="7B0D522A"/>
    <w:rsid w:val="7B444BD7"/>
    <w:rsid w:val="7BED4CA3"/>
    <w:rsid w:val="7BF05B53"/>
    <w:rsid w:val="7C753AF4"/>
    <w:rsid w:val="7C8936BE"/>
    <w:rsid w:val="7C9267D4"/>
    <w:rsid w:val="7CCF0CE1"/>
    <w:rsid w:val="7CFE096A"/>
    <w:rsid w:val="7D07727B"/>
    <w:rsid w:val="7D5835DB"/>
    <w:rsid w:val="7D8F1BF3"/>
    <w:rsid w:val="7D915F3A"/>
    <w:rsid w:val="7DD63959"/>
    <w:rsid w:val="7EDE2F39"/>
    <w:rsid w:val="7F866A26"/>
    <w:rsid w:val="7FEA11DC"/>
    <w:rsid w:val="7FFA11D0"/>
    <w:rsid w:val="A2BDA513"/>
    <w:rsid w:val="E8DDC30C"/>
    <w:rsid w:val="EE7F5BE4"/>
    <w:rsid w:val="EFFCBC21"/>
    <w:rsid w:val="FFF5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 w:locked="1"/>
    <w:lsdException w:qFormat="1" w:uiPriority="9" w:name="heading 2" w:locked="1"/>
    <w:lsdException w:qFormat="1" w:uiPriority="9" w:name="heading 3" w:locked="1"/>
    <w:lsdException w:qFormat="1" w:uiPriority="9" w:name="heading 4" w:locked="1"/>
    <w:lsdException w:qFormat="1" w:uiPriority="9" w:name="heading 5" w:locked="1"/>
    <w:lsdException w:qFormat="1" w:uiPriority="9" w:name="heading 6" w:locked="1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99" w:name="Normal Indent" w:locked="1"/>
    <w:lsdException w:uiPriority="99" w:name="footnote text" w:locked="1"/>
    <w:lsdException w:uiPriority="99" w:name="annotation text" w:locked="1"/>
    <w:lsdException w:unhideWhenUsed="0" w:uiPriority="99" w:semiHidden="0" w:name="header"/>
    <w:lsdException w:qFormat="1" w:unhideWhenUsed="0" w:uiPriority="99" w:semiHidden="0" w:name="footer"/>
    <w:lsdException w:uiPriority="99" w:name="index heading" w:locked="1"/>
    <w:lsdException w:qFormat="1" w:uiPriority="35" w:name="caption" w:locked="1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nhideWhenUsed="0" w:uiPriority="99" w:semiHidden="0" w:name="line number"/>
    <w:lsdException w:qFormat="1" w:unhideWhenUsed="0" w:uiPriority="99" w:semiHidden="0" w:name="page number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10" w:semiHidden="0" w:name="Title" w:locked="1"/>
    <w:lsdException w:uiPriority="99" w:name="Closing" w:locked="1"/>
    <w:lsdException w:uiPriority="99" w:name="Signature" w:locked="1"/>
    <w:lsdException w:unhideWhenUsed="0" w:uiPriority="99" w:name="Default Paragraph Font"/>
    <w:lsdException w:uiPriority="99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11" w:semiHidden="0" w:name="Subtitle" w:locked="1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 w:locked="1"/>
    <w:lsdException w:qFormat="1" w:unhideWhenUsed="0" w:uiPriority="20" w:semiHidden="0" w:name="Emphasis" w:locked="1"/>
    <w:lsdException w:uiPriority="99" w:name="Document Map" w:locked="1"/>
    <w:lsdException w:uiPriority="99" w:name="Plain Text" w:locked="1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uiPriority="99" w:name="Balloon Text" w:locked="1"/>
    <w:lsdException w:unhideWhenUsed="0" w:uiPriority="59" w:semiHidden="0" w:name="Table Grid" w:locked="1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  <w:jc w:val="both"/>
    </w:pPr>
    <w:rPr>
      <w:rFonts w:ascii="Times New Roman" w:hAnsi="Times New Roman" w:eastAsia="仿宋_GB2312" w:cs="Times New Roman"/>
      <w:spacing w:val="-6"/>
      <w:kern w:val="2"/>
      <w:sz w:val="32"/>
      <w:szCs w:val="32"/>
      <w:lang w:val="en-US" w:eastAsia="zh-CN" w:bidi="ar-SA"/>
    </w:rPr>
  </w:style>
  <w:style w:type="character" w:default="1" w:styleId="4">
    <w:name w:val="Default Paragraph Font"/>
    <w:semiHidden/>
    <w:uiPriority w:val="99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99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3">
    <w:name w:val="header"/>
    <w:basedOn w:val="1"/>
    <w:link w:val="11"/>
    <w:uiPriority w:val="99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styleId="5">
    <w:name w:val="page number"/>
    <w:basedOn w:val="4"/>
    <w:qFormat/>
    <w:uiPriority w:val="99"/>
  </w:style>
  <w:style w:type="character" w:styleId="6">
    <w:name w:val="FollowedHyperlink"/>
    <w:basedOn w:val="4"/>
    <w:uiPriority w:val="99"/>
    <w:rPr>
      <w:color w:val="800080"/>
      <w:sz w:val="18"/>
      <w:szCs w:val="18"/>
      <w:u w:val="none"/>
    </w:rPr>
  </w:style>
  <w:style w:type="character" w:styleId="7">
    <w:name w:val="line number"/>
    <w:basedOn w:val="4"/>
    <w:uiPriority w:val="99"/>
  </w:style>
  <w:style w:type="character" w:styleId="8">
    <w:name w:val="Hyperlink"/>
    <w:basedOn w:val="4"/>
    <w:uiPriority w:val="99"/>
    <w:rPr>
      <w:color w:val="0000FF"/>
      <w:sz w:val="18"/>
      <w:szCs w:val="18"/>
      <w:u w:val="none"/>
    </w:rPr>
  </w:style>
  <w:style w:type="character" w:customStyle="1" w:styleId="10">
    <w:name w:val="Footer Char"/>
    <w:basedOn w:val="4"/>
    <w:link w:val="2"/>
    <w:semiHidden/>
    <w:qFormat/>
    <w:locked/>
    <w:uiPriority w:val="99"/>
    <w:rPr>
      <w:rFonts w:eastAsia="仿宋_GB2312"/>
      <w:spacing w:val="-6"/>
      <w:sz w:val="18"/>
      <w:szCs w:val="18"/>
    </w:rPr>
  </w:style>
  <w:style w:type="character" w:customStyle="1" w:styleId="11">
    <w:name w:val="Header Char"/>
    <w:basedOn w:val="4"/>
    <w:link w:val="3"/>
    <w:semiHidden/>
    <w:locked/>
    <w:uiPriority w:val="99"/>
    <w:rPr>
      <w:rFonts w:eastAsia="仿宋_GB2312"/>
      <w:spacing w:val="-6"/>
      <w:sz w:val="18"/>
      <w:szCs w:val="18"/>
    </w:rPr>
  </w:style>
  <w:style w:type="paragraph" w:customStyle="1" w:styleId="12">
    <w:name w:val="居中"/>
    <w:basedOn w:val="1"/>
    <w:qFormat/>
    <w:uiPriority w:val="99"/>
    <w:pPr>
      <w:numPr>
        <w:ilvl w:val="0"/>
        <w:numId w:val="1"/>
      </w:numPr>
    </w:pPr>
  </w:style>
  <w:style w:type="paragraph" w:customStyle="1" w:styleId="13">
    <w:name w:val="列出段落1"/>
    <w:basedOn w:val="1"/>
    <w:uiPriority w:val="99"/>
    <w:pPr>
      <w:ind w:firstLine="420" w:firstLineChars="200"/>
    </w:pPr>
  </w:style>
  <w:style w:type="character" w:customStyle="1" w:styleId="14">
    <w:name w:val="red"/>
    <w:basedOn w:val="4"/>
    <w:uiPriority w:val="99"/>
    <w:rPr>
      <w:color w:val="FF0000"/>
      <w:sz w:val="21"/>
      <w:szCs w:val="21"/>
    </w:rPr>
  </w:style>
  <w:style w:type="character" w:customStyle="1" w:styleId="15">
    <w:name w:val="apple-converted-space"/>
    <w:basedOn w:val="4"/>
    <w:uiPriority w:val="99"/>
  </w:style>
  <w:style w:type="paragraph" w:customStyle="1" w:styleId="16">
    <w:name w:val="p0"/>
    <w:basedOn w:val="1"/>
    <w:uiPriority w:val="99"/>
    <w:pPr>
      <w:widowControl/>
    </w:pPr>
    <w:rPr>
      <w:kern w:val="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Microsoft</Company>
  <Pages>4</Pages>
  <Words>269</Words>
  <Characters>1538</Characters>
  <Lines>0</Lines>
  <Paragraphs>0</Paragraphs>
  <TotalTime>5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2019-10-29T08:30:00Z</dcterms:created>
  <dc:creator>shy</dc:creator>
  <cp:lastModifiedBy>Administrator</cp:lastModifiedBy>
  <dcterms:modified xsi:type="dcterms:W3CDTF">2019-10-31T00:57:08Z</dcterms:modified>
  <dc:title>No:0000001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公文模板版本">
    <vt:lpwstr>20160721</vt:lpwstr>
  </property>
</Properties>
</file>