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center"/>
        <w:textAlignment w:val="auto"/>
        <w:rPr>
          <w:rFonts w:hint="eastAsia" w:ascii="方正小标宋简体" w:hAnsi="方正小标宋简体" w:eastAsia="方正小标宋简体" w:cs="方正小标宋简体"/>
          <w:b w:val="0"/>
          <w:bCs w:val="0"/>
          <w:sz w:val="44"/>
          <w:szCs w:val="44"/>
        </w:rPr>
      </w:pPr>
      <w:bookmarkStart w:id="0" w:name="_GoBack"/>
      <w:r>
        <w:rPr>
          <w:rFonts w:hint="eastAsia" w:ascii="方正小标宋简体" w:hAnsi="方正小标宋简体" w:eastAsia="方正小标宋简体" w:cs="方正小标宋简体"/>
          <w:b w:val="0"/>
          <w:bCs w:val="0"/>
          <w:sz w:val="44"/>
          <w:szCs w:val="44"/>
        </w:rPr>
        <w:t>海南省产品质量监督管理条例</w:t>
      </w:r>
    </w:p>
    <w:bookmarkEnd w:id="0"/>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sz w:val="32"/>
          <w:szCs w:val="32"/>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Autospacing="0" w:afterAutospacing="0" w:line="560" w:lineRule="exact"/>
        <w:ind w:right="0"/>
        <w:jc w:val="both"/>
        <w:textAlignment w:val="auto"/>
        <w:rPr>
          <w:rFonts w:hint="eastAsia" w:ascii="Times New Roman" w:hAnsi="Times New Roman" w:eastAsia="楷体_GB2312" w:cs="Times New Roman"/>
          <w:bCs/>
          <w:color w:val="000000"/>
          <w:sz w:val="32"/>
          <w:szCs w:val="32"/>
          <w:lang w:val="en-US" w:eastAsia="zh-CN" w:bidi="ar"/>
        </w:rPr>
      </w:pPr>
      <w:r>
        <w:rPr>
          <w:rFonts w:hint="eastAsia" w:ascii="Times New Roman" w:hAnsi="Times New Roman" w:eastAsia="楷体_GB2312" w:cs="Times New Roman"/>
          <w:bCs/>
          <w:color w:val="000000"/>
          <w:sz w:val="32"/>
          <w:szCs w:val="32"/>
          <w:lang w:val="en-US" w:eastAsia="zh-CN" w:bidi="ar"/>
        </w:rPr>
        <w:t>（1994年8月15日海南省第一届人民代表大会常务委员会第十次会议通过  根据1997年10月24日海南省第一届人民代表大会常务委员会第三十二次会议《关于修改〈海南省产品质量监督管理条例〉的决定》第一次修正  根据2012年5月30日海南省第四届人民代表大会常务委员会第三十次会议《海南省产品质量监督管理条例修正案》第二次修正</w:t>
      </w:r>
      <w:r>
        <w:rPr>
          <w:rFonts w:hint="eastAsia" w:eastAsia="楷体_GB2312" w:cs="Times New Roman"/>
          <w:bCs/>
          <w:color w:val="000000"/>
          <w:sz w:val="32"/>
          <w:szCs w:val="32"/>
          <w:lang w:val="en-US" w:eastAsia="zh-CN" w:bidi="ar"/>
        </w:rPr>
        <w:t xml:space="preserve"> </w:t>
      </w:r>
      <w:r>
        <w:rPr>
          <w:rFonts w:hint="eastAsia" w:ascii="Times New Roman" w:hAnsi="Times New Roman" w:eastAsia="楷体_GB2312" w:cs="Times New Roman"/>
          <w:bCs/>
          <w:color w:val="000000"/>
          <w:sz w:val="32"/>
          <w:szCs w:val="32"/>
          <w:lang w:val="en-US" w:eastAsia="zh-CN" w:bidi="ar"/>
        </w:rPr>
        <w:t>根据2021年9月</w:t>
      </w:r>
      <w:r>
        <w:rPr>
          <w:rFonts w:hint="eastAsia" w:eastAsia="楷体_GB2312" w:cs="Times New Roman"/>
          <w:bCs/>
          <w:color w:val="000000"/>
          <w:sz w:val="32"/>
          <w:szCs w:val="32"/>
          <w:lang w:val="en-US" w:eastAsia="zh-CN" w:bidi="ar"/>
        </w:rPr>
        <w:t>29</w:t>
      </w:r>
      <w:r>
        <w:rPr>
          <w:rFonts w:hint="eastAsia" w:ascii="Times New Roman" w:hAnsi="Times New Roman" w:eastAsia="楷体_GB2312" w:cs="Times New Roman"/>
          <w:bCs/>
          <w:color w:val="000000"/>
          <w:sz w:val="32"/>
          <w:szCs w:val="32"/>
          <w:lang w:val="en-US" w:eastAsia="zh-CN" w:bidi="ar"/>
        </w:rPr>
        <w:t>日海南省第六届人民代表大会常务委员会第三十次会议《关于修改&lt;海南省生活垃圾管理条例&gt;等六件法规的决定》</w:t>
      </w:r>
      <w:r>
        <w:rPr>
          <w:rFonts w:hint="eastAsia" w:eastAsia="楷体_GB2312" w:cs="Times New Roman"/>
          <w:bCs/>
          <w:color w:val="000000"/>
          <w:sz w:val="32"/>
          <w:szCs w:val="32"/>
          <w:lang w:val="en-US" w:eastAsia="zh-CN" w:bidi="ar"/>
        </w:rPr>
        <w:t>第三次</w:t>
      </w:r>
      <w:r>
        <w:rPr>
          <w:rFonts w:hint="eastAsia" w:ascii="Times New Roman" w:hAnsi="Times New Roman" w:eastAsia="楷体_GB2312" w:cs="Times New Roman"/>
          <w:bCs/>
          <w:color w:val="000000"/>
          <w:sz w:val="32"/>
          <w:szCs w:val="32"/>
          <w:lang w:val="en-US" w:eastAsia="zh-CN" w:bidi="ar"/>
        </w:rPr>
        <w:t>修正）</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为加强对产品质量的监督管理，明确产品质量责任，保护用户、消费者以及生产者、销售者的合法权益，维护社会经济秩序，根据《中华人民共和国产品质量法》及有关法律、法规，结合本省实际，制定本条例。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在本省行政区域内从事产品生产、销售及质量监督活动，适用本条例。</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省、市、县、自治县人民政府的</w:t>
      </w:r>
      <w:r>
        <w:rPr>
          <w:rFonts w:hint="eastAsia" w:ascii="仿宋_GB2312" w:hAnsi="仿宋_GB2312" w:eastAsia="仿宋_GB2312" w:cs="仿宋_GB2312"/>
          <w:sz w:val="32"/>
          <w:szCs w:val="32"/>
          <w:lang w:eastAsia="zh-CN"/>
        </w:rPr>
        <w:t>市场监督管理部门</w:t>
      </w:r>
      <w:r>
        <w:rPr>
          <w:rFonts w:hint="eastAsia" w:ascii="仿宋_GB2312" w:hAnsi="仿宋_GB2312" w:eastAsia="仿宋_GB2312" w:cs="仿宋_GB2312"/>
          <w:sz w:val="32"/>
          <w:szCs w:val="32"/>
        </w:rPr>
        <w:t>主管本行政区域内的产品质量监督管理工作。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药品监管、海关、劳动监督保障、消防救援等有关部门</w:t>
      </w:r>
      <w:r>
        <w:rPr>
          <w:rFonts w:hint="eastAsia" w:ascii="仿宋_GB2312" w:hAnsi="仿宋_GB2312" w:eastAsia="仿宋_GB2312" w:cs="仿宋_GB2312"/>
          <w:sz w:val="32"/>
          <w:szCs w:val="32"/>
        </w:rPr>
        <w:t>，按有关法律、法规规定的职权范围负责产品质量监督管理工作。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各行业主管部门负责本行业本系统的产品质量监督管理工作。用户、消费者及</w:t>
      </w:r>
      <w:r>
        <w:rPr>
          <w:rFonts w:hint="eastAsia" w:ascii="仿宋_GB2312" w:hAnsi="仿宋_GB2312" w:eastAsia="仿宋_GB2312" w:cs="仿宋_GB2312"/>
          <w:sz w:val="32"/>
          <w:szCs w:val="32"/>
          <w:lang w:eastAsia="zh-CN"/>
        </w:rPr>
        <w:t>消费者委员会</w:t>
      </w:r>
      <w:r>
        <w:rPr>
          <w:rFonts w:hint="eastAsia" w:ascii="仿宋_GB2312" w:hAnsi="仿宋_GB2312" w:eastAsia="仿宋_GB2312" w:cs="仿宋_GB2312"/>
          <w:sz w:val="32"/>
          <w:szCs w:val="32"/>
        </w:rPr>
        <w:t>、行业协会、个体劳动者协会等</w:t>
      </w:r>
      <w:r>
        <w:rPr>
          <w:rFonts w:hint="eastAsia" w:ascii="仿宋_GB2312" w:hAnsi="仿宋_GB2312" w:eastAsia="仿宋_GB2312" w:cs="仿宋_GB2312"/>
          <w:sz w:val="32"/>
          <w:szCs w:val="32"/>
          <w:lang w:eastAsia="zh-CN"/>
        </w:rPr>
        <w:t>社会组织、社会团体和新闻舆论机构</w:t>
      </w:r>
      <w:r>
        <w:rPr>
          <w:rFonts w:hint="eastAsia" w:ascii="仿宋_GB2312" w:hAnsi="仿宋_GB2312" w:eastAsia="仿宋_GB2312" w:cs="仿宋_GB2312"/>
          <w:sz w:val="32"/>
          <w:szCs w:val="32"/>
        </w:rPr>
        <w:t>，对产品质量实行社会监督。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产品的生产者、销售者必须贯彻“质量第一”的方针，切实保护用户和消费者的合法权益，在生产、销售中掺杂、掺假，以假充真、以次充好，以不合格产品冒充合格产品，应当依法承担产品质量责任。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生产者对其产品应当实行严格的质量检验制度，确保产品质量。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销售者必须对所销售的产品质量负责，进货应当实行索证和验收制度。产品在保证期内并非用户或者消费者使用或者保管原因所造成的质量问题，由销售者先按国家有关规定负责产品的修理、更换、退货和赔偿，或者依双方约定予以解决。其产品质量责任属于生产者、供货者或者储运者的，销售者有权向有关责任方索赔。</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w:t>
      </w:r>
      <w:r>
        <w:rPr>
          <w:rFonts w:hint="eastAsia" w:ascii="仿宋_GB2312" w:hAnsi="仿宋_GB2312" w:eastAsia="仿宋_GB2312" w:cs="仿宋_GB2312"/>
          <w:sz w:val="32"/>
          <w:szCs w:val="32"/>
          <w:lang w:eastAsia="zh-CN"/>
        </w:rPr>
        <w:t>市场监督管理部门</w:t>
      </w:r>
      <w:r>
        <w:rPr>
          <w:rFonts w:hint="eastAsia" w:ascii="仿宋_GB2312" w:hAnsi="仿宋_GB2312" w:eastAsia="仿宋_GB2312" w:cs="仿宋_GB2312"/>
          <w:sz w:val="32"/>
          <w:szCs w:val="32"/>
        </w:rPr>
        <w:t>和其他管理产品质量监督工作的部门（以下简称监督检查部门）依职权对产品进行监督检查和处理质量违法行为。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监督检查部门必须按规定的程序和检查方法行使检查职责。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w:t>
      </w:r>
      <w:r>
        <w:rPr>
          <w:rFonts w:hint="eastAsia" w:ascii="仿宋_GB2312" w:hAnsi="仿宋_GB2312" w:eastAsia="仿宋_GB2312" w:cs="仿宋_GB2312"/>
          <w:sz w:val="32"/>
          <w:szCs w:val="32"/>
          <w:lang w:eastAsia="zh-CN"/>
        </w:rPr>
        <w:t>市场监督管理部门</w:t>
      </w:r>
      <w:r>
        <w:rPr>
          <w:rFonts w:hint="eastAsia" w:ascii="仿宋_GB2312" w:hAnsi="仿宋_GB2312" w:eastAsia="仿宋_GB2312" w:cs="仿宋_GB2312"/>
          <w:sz w:val="32"/>
          <w:szCs w:val="32"/>
        </w:rPr>
        <w:t>负责制定本省质量监督检查计划，并组织实施。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实行报检、检验、监管机构职能分离的产品质量监督管理体制。逐步实现由中介机构代理报检，检验机构经资格审查合格后独立检验，面向社会有偿服务，质量监督管理部门行使监管行政职能。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部门以抽查为主要方式对产品质量实行监督管理，对可能危及人体健康和人身、财产安全的产品，影响国计民生的重要工业产品以及用户、消费者、有关组织反映有质量问题的产品进行抽查。抽查的主要内容是产品是否具有真实、合法的检验报告或者合格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被检查单位和个人不得拒绝和干扰抽查。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监督检查部门对产品进行抽查，不得收费。所需费用列入各级财政预算。</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监督检查部门在监督检查时，可行使下列职权：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（一）要求被检查人提供有效的产品检验报告或者合格证明；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（二）对质量有疑问而又不能提供有效检验报告或者合格证明的产品，对虽有检验报告、合格证明但与产品明显不一致的，可以封存样品，并责令被检查人按规定送检；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（三）询问被检查的当事人、利害关系人、证明人，并要求提供证明材料和有关资料；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（四）查询、复制与质量违法行为有关的协议、账册、单据、文件、记录、业务电函和有关资料；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（五）发现被检查人有质量违法行为时，可以责令其暂停生产、销售，提供生产、销售及库存产品的数量和情况。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监督检查部门对有根据认为不符合保障人体健康和人身、财产安全的国家标准、行业标准的产品或者有其他严重质量问题的产品，以及直接用于生产、销售该项产品的原辅材料、包装物、生产工具，予以查封或者扣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查封、扣押的期限不得超过</w:t>
      </w:r>
      <w:r>
        <w:rPr>
          <w:rFonts w:hint="eastAsia" w:ascii="仿宋_GB2312" w:hAnsi="仿宋_GB2312" w:eastAsia="仿宋_GB2312" w:cs="仿宋_GB2312"/>
          <w:sz w:val="32"/>
          <w:szCs w:val="32"/>
          <w:lang w:eastAsia="zh-CN"/>
        </w:rPr>
        <w:t>三十</w:t>
      </w:r>
      <w:r>
        <w:rPr>
          <w:rFonts w:hint="eastAsia" w:ascii="仿宋_GB2312" w:hAnsi="仿宋_GB2312" w:eastAsia="仿宋_GB2312" w:cs="仿宋_GB2312"/>
          <w:sz w:val="32"/>
          <w:szCs w:val="32"/>
        </w:rPr>
        <w:t>日；情况复杂的，经行政机关负责人批准，可以延长，但是延长期限不得超过</w:t>
      </w:r>
      <w:r>
        <w:rPr>
          <w:rFonts w:hint="eastAsia" w:ascii="仿宋_GB2312" w:hAnsi="仿宋_GB2312" w:eastAsia="仿宋_GB2312" w:cs="仿宋_GB2312"/>
          <w:sz w:val="32"/>
          <w:szCs w:val="32"/>
          <w:lang w:eastAsia="zh-CN"/>
        </w:rPr>
        <w:t>三十</w:t>
      </w:r>
      <w:r>
        <w:rPr>
          <w:rFonts w:hint="eastAsia" w:ascii="仿宋_GB2312" w:hAnsi="仿宋_GB2312" w:eastAsia="仿宋_GB2312" w:cs="仿宋_GB2312"/>
          <w:sz w:val="32"/>
          <w:szCs w:val="32"/>
        </w:rPr>
        <w:t>日。对查封、扣押时保质期不足</w:t>
      </w:r>
      <w:r>
        <w:rPr>
          <w:rFonts w:hint="eastAsia" w:ascii="仿宋_GB2312" w:hAnsi="仿宋_GB2312" w:eastAsia="仿宋_GB2312" w:cs="仿宋_GB2312"/>
          <w:sz w:val="32"/>
          <w:szCs w:val="32"/>
          <w:lang w:eastAsia="zh-CN"/>
        </w:rPr>
        <w:t>三十</w:t>
      </w:r>
      <w:r>
        <w:rPr>
          <w:rFonts w:hint="eastAsia" w:ascii="仿宋_GB2312" w:hAnsi="仿宋_GB2312" w:eastAsia="仿宋_GB2312" w:cs="仿宋_GB2312"/>
          <w:sz w:val="32"/>
          <w:szCs w:val="32"/>
        </w:rPr>
        <w:t>日的产品，应当在保质期内处理完毕。</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消费者委员会</w:t>
      </w:r>
      <w:r>
        <w:rPr>
          <w:rFonts w:hint="eastAsia" w:ascii="仿宋_GB2312" w:hAnsi="仿宋_GB2312" w:eastAsia="仿宋_GB2312" w:cs="仿宋_GB2312"/>
          <w:sz w:val="32"/>
          <w:szCs w:val="32"/>
        </w:rPr>
        <w:t>有权受理产品质量投诉，并对投诉事项进行调查、调解；参与监督检查部门对产品质量进行监督检查，向有关行政部门反映、查询、提出建议；支持受损害的消费者提请产品质量纠纷仲裁或者提起诉讼。对损害消费者合法权益的行为，通过新闻媒介予以揭露、批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各级人民政府对</w:t>
      </w:r>
      <w:r>
        <w:rPr>
          <w:rFonts w:hint="eastAsia" w:ascii="仿宋_GB2312" w:hAnsi="仿宋_GB2312" w:eastAsia="仿宋_GB2312" w:cs="仿宋_GB2312"/>
          <w:sz w:val="32"/>
          <w:szCs w:val="32"/>
          <w:lang w:eastAsia="zh-CN"/>
        </w:rPr>
        <w:t>消费者委员会</w:t>
      </w:r>
      <w:r>
        <w:rPr>
          <w:rFonts w:hint="eastAsia" w:ascii="仿宋_GB2312" w:hAnsi="仿宋_GB2312" w:eastAsia="仿宋_GB2312" w:cs="仿宋_GB2312"/>
          <w:sz w:val="32"/>
          <w:szCs w:val="32"/>
        </w:rPr>
        <w:t>履行职能应当予以支持。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产品质量监督检验的依据：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（一）已发布的保障人体健康和人身、财产安全的国家标准、行业标准。未制定国家标准、行业标准的产品，必须符合保障人体健康和人身、财产安全的要求；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（二）产品说明、合同、实物样品或者其他方式所明示的质量指标或者状况；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（三）产品说明、合同、实物样品或者其他方式所明示的质量指标或者状况严于本条第一项所列标准的，按其所明示的质量指标或者状况。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w:t>
      </w:r>
      <w:r>
        <w:rPr>
          <w:rFonts w:hint="eastAsia" w:ascii="仿宋_GB2312" w:hAnsi="仿宋_GB2312" w:eastAsia="仿宋_GB2312" w:cs="仿宋_GB2312"/>
          <w:sz w:val="32"/>
          <w:szCs w:val="32"/>
          <w:lang w:eastAsia="zh-CN"/>
        </w:rPr>
        <w:t>市场监督管理部门</w:t>
      </w:r>
      <w:r>
        <w:rPr>
          <w:rFonts w:hint="eastAsia" w:ascii="仿宋_GB2312" w:hAnsi="仿宋_GB2312" w:eastAsia="仿宋_GB2312" w:cs="仿宋_GB2312"/>
          <w:sz w:val="32"/>
          <w:szCs w:val="32"/>
        </w:rPr>
        <w:t>负责对产品质量检验机构按国家有关规定进行考核，对经考核合格的产品质量检验机构发给合格证书，并向社会公布其可以从事检验的产品及项目。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w:t>
      </w:r>
      <w:r>
        <w:rPr>
          <w:rFonts w:hint="eastAsia" w:ascii="仿宋_GB2312" w:hAnsi="仿宋_GB2312" w:eastAsia="仿宋_GB2312" w:cs="仿宋_GB2312"/>
          <w:sz w:val="32"/>
          <w:szCs w:val="32"/>
          <w:lang w:eastAsia="zh-CN"/>
        </w:rPr>
        <w:t>市场监督管理部门</w:t>
      </w:r>
      <w:r>
        <w:rPr>
          <w:rFonts w:hint="eastAsia" w:ascii="仿宋_GB2312" w:hAnsi="仿宋_GB2312" w:eastAsia="仿宋_GB2312" w:cs="仿宋_GB2312"/>
          <w:sz w:val="32"/>
          <w:szCs w:val="32"/>
        </w:rPr>
        <w:t>对取得合格证书的产品质量检验机构，每2年进行一次复核。</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未取得合格证书的产品质量检验机构不得从事产品质量检验业务。</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w:t>
      </w:r>
      <w:r>
        <w:rPr>
          <w:rFonts w:hint="eastAsia" w:ascii="仿宋_GB2312" w:hAnsi="仿宋_GB2312" w:eastAsia="仿宋_GB2312" w:cs="仿宋_GB2312"/>
          <w:sz w:val="32"/>
          <w:szCs w:val="32"/>
          <w:lang w:eastAsia="zh-CN"/>
        </w:rPr>
        <w:t>市场监督管理部门</w:t>
      </w:r>
      <w:r>
        <w:rPr>
          <w:rFonts w:hint="eastAsia" w:ascii="仿宋_GB2312" w:hAnsi="仿宋_GB2312" w:eastAsia="仿宋_GB2312" w:cs="仿宋_GB2312"/>
          <w:sz w:val="32"/>
          <w:szCs w:val="32"/>
        </w:rPr>
        <w:t>接到有关产品质量检验机构的考核申请后，应当在</w:t>
      </w:r>
      <w:r>
        <w:rPr>
          <w:rFonts w:hint="eastAsia" w:ascii="仿宋_GB2312" w:hAnsi="仿宋_GB2312" w:eastAsia="仿宋_GB2312" w:cs="仿宋_GB2312"/>
          <w:sz w:val="32"/>
          <w:szCs w:val="32"/>
          <w:lang w:eastAsia="zh-CN"/>
        </w:rPr>
        <w:t>七</w:t>
      </w:r>
      <w:r>
        <w:rPr>
          <w:rFonts w:hint="eastAsia" w:ascii="仿宋_GB2312" w:hAnsi="仿宋_GB2312" w:eastAsia="仿宋_GB2312" w:cs="仿宋_GB2312"/>
          <w:sz w:val="32"/>
          <w:szCs w:val="32"/>
        </w:rPr>
        <w:t>日内作出是否受理的决定。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对已受理考核申请的，应当在</w:t>
      </w:r>
      <w:r>
        <w:rPr>
          <w:rFonts w:hint="eastAsia" w:ascii="仿宋_GB2312" w:hAnsi="仿宋_GB2312" w:eastAsia="仿宋_GB2312" w:cs="仿宋_GB2312"/>
          <w:sz w:val="32"/>
          <w:szCs w:val="32"/>
          <w:lang w:eastAsia="zh-CN"/>
        </w:rPr>
        <w:t>两</w:t>
      </w:r>
      <w:r>
        <w:rPr>
          <w:rFonts w:hint="eastAsia" w:ascii="仿宋_GB2312" w:hAnsi="仿宋_GB2312" w:eastAsia="仿宋_GB2312" w:cs="仿宋_GB2312"/>
          <w:sz w:val="32"/>
          <w:szCs w:val="32"/>
        </w:rPr>
        <w:t>个月内作出考核结论。逾期不作出决定或者对决定、考核结论不服的，当事人可以依法申请复议或者向人民法院起诉。</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产品质量检验机构应当对报检单位提供科学准确的检测数据和检验结论，该数据和结论可以作为质量监督、质量仲裁的依据。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质量监督检查部门或者其他报检机构抽取样品时，必须出示有效文件、证件，并按技术标准和有关规定抽取样品。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检验机构应当按送检或者责令送检的法律文书所规定的内容收验样品和检验，一般产品应当在</w:t>
      </w:r>
      <w:r>
        <w:rPr>
          <w:rFonts w:hint="eastAsia" w:ascii="仿宋_GB2312" w:hAnsi="仿宋_GB2312" w:eastAsia="仿宋_GB2312" w:cs="仿宋_GB2312"/>
          <w:sz w:val="32"/>
          <w:szCs w:val="32"/>
          <w:lang w:eastAsia="zh-CN"/>
        </w:rPr>
        <w:t>十</w:t>
      </w:r>
      <w:r>
        <w:rPr>
          <w:rFonts w:hint="eastAsia" w:ascii="仿宋_GB2312" w:hAnsi="仿宋_GB2312" w:eastAsia="仿宋_GB2312" w:cs="仿宋_GB2312"/>
          <w:sz w:val="32"/>
          <w:szCs w:val="32"/>
        </w:rPr>
        <w:t>日内，不易储存的食品类产品应当在储存有效期内，出具检验报告（技术上对检验时间有特殊要求的除外），并及时将检验结果分送送检单位和当地</w:t>
      </w:r>
      <w:r>
        <w:rPr>
          <w:rFonts w:hint="eastAsia" w:ascii="仿宋_GB2312" w:hAnsi="仿宋_GB2312" w:eastAsia="仿宋_GB2312" w:cs="仿宋_GB2312"/>
          <w:sz w:val="32"/>
          <w:szCs w:val="32"/>
          <w:lang w:eastAsia="zh-CN"/>
        </w:rPr>
        <w:t>市场监督管理部门</w:t>
      </w:r>
      <w:r>
        <w:rPr>
          <w:rFonts w:hint="eastAsia" w:ascii="仿宋_GB2312" w:hAnsi="仿宋_GB2312" w:eastAsia="仿宋_GB2312" w:cs="仿宋_GB2312"/>
          <w:sz w:val="32"/>
          <w:szCs w:val="32"/>
        </w:rPr>
        <w:t xml:space="preserve">。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样品在检验后仍有使用价值的应当予以退还，复检样品在留样期满后退还。</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当事人对产品质量监督检验结果如有异议，可以在接到检验结果通知书之日起</w:t>
      </w:r>
      <w:r>
        <w:rPr>
          <w:rFonts w:hint="eastAsia" w:ascii="仿宋_GB2312" w:hAnsi="仿宋_GB2312" w:eastAsia="仿宋_GB2312" w:cs="仿宋_GB2312"/>
          <w:sz w:val="32"/>
          <w:szCs w:val="32"/>
          <w:lang w:eastAsia="zh-CN"/>
        </w:rPr>
        <w:t>十五</w:t>
      </w:r>
      <w:r>
        <w:rPr>
          <w:rFonts w:hint="eastAsia" w:ascii="仿宋_GB2312" w:hAnsi="仿宋_GB2312" w:eastAsia="仿宋_GB2312" w:cs="仿宋_GB2312"/>
          <w:sz w:val="32"/>
          <w:szCs w:val="32"/>
        </w:rPr>
        <w:t>日内向</w:t>
      </w:r>
      <w:r>
        <w:rPr>
          <w:rFonts w:hint="eastAsia" w:ascii="仿宋_GB2312" w:hAnsi="仿宋_GB2312" w:eastAsia="仿宋_GB2312" w:cs="仿宋_GB2312"/>
          <w:sz w:val="32"/>
          <w:szCs w:val="32"/>
          <w:lang w:eastAsia="zh-CN"/>
        </w:rPr>
        <w:t>市场监督管理部门</w:t>
      </w:r>
      <w:r>
        <w:rPr>
          <w:rFonts w:hint="eastAsia" w:ascii="仿宋_GB2312" w:hAnsi="仿宋_GB2312" w:eastAsia="仿宋_GB2312" w:cs="仿宋_GB2312"/>
          <w:sz w:val="32"/>
          <w:szCs w:val="32"/>
        </w:rPr>
        <w:t>申请复检。经复检证实原检验结果有误的，应当予以改正；原检验结果正确的，应当予以维持。复检费用由责任方承担。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对取得有效质量检验报告或者合格证明的产品，任何单位不得在有效期内对其相同检测项目进行重复检验。确属监督检查需要的，应当由监督检查部门支付样品及检验费用。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产品质量检验机构的检验收费标准，由</w:t>
      </w:r>
      <w:r>
        <w:rPr>
          <w:rFonts w:hint="eastAsia" w:ascii="仿宋_GB2312" w:hAnsi="仿宋_GB2312" w:eastAsia="仿宋_GB2312" w:cs="仿宋_GB2312"/>
          <w:sz w:val="32"/>
          <w:szCs w:val="32"/>
          <w:lang w:eastAsia="zh-CN"/>
        </w:rPr>
        <w:t>省价格主管部门</w:t>
      </w:r>
      <w:r>
        <w:rPr>
          <w:rFonts w:hint="eastAsia" w:ascii="仿宋_GB2312" w:hAnsi="仿宋_GB2312" w:eastAsia="仿宋_GB2312" w:cs="仿宋_GB2312"/>
          <w:sz w:val="32"/>
          <w:szCs w:val="32"/>
        </w:rPr>
        <w:t>会同有关主管部门另行制定。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检验机构、认证机构对所出具的检验结果或者证明负责。产品质量检验机构、认证机构伪造检验结果或者出具虚假证明的，依照《中华人民共和国产品质量法》《中华人民共和国认证认可条例》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产品质量检验机构对送检的技术资料、商业秘密负有保密责任。检验机构或者检验人员泄露被检验人的产品技术秘密或者商业秘密的，依照《中华人民共和国反不正当竞争法》的规定处罚。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第二十</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禁止生产者、销售者有下列行为：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（一）生产、销售不符合保障人体健康和人身、财产安全的国家标准、行业标准的产品的；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（二）生产国家明令淘汰的产品，销售国家明令淘汰并停止销售的产品和失效、变质的产品的；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（三）在产品中掺杂、掺假，以假充真、以次充好，以不合格产品冒充合格产品的；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（四）伪造产品产地，伪造或者冒用他人厂名、厂址，伪造或者冒用认证标志等质量标志的。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eastAsia="zh-CN"/>
        </w:rPr>
        <w:t>违反前款规定的，依照《中华人民共和国产品质量法》的规定处罚。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六</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产品或者其包装上的标识应当真实，并符合下列要求：</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（一）有产品质量检验合格证明；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（二）有中文标明的产品名称、生产厂厂名和厂址；</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（三）根据产品的特点和使用要求，需要标明产品规格、等级、所含主要成份的名称和含量的，用中文相应予以标明；需要事先让消费者知晓的，应当在外包装上标明，或者预先向消费者提供有关资料；</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（四）限期使用的产品，应当在显著位置清晰地标明生产日期和安全使用期或者失效日期；</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（五）使用不当，容易造成产品本身损坏或者可能危及人身、财产安全的产品，应当有警示标志或者中文警示说明。</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产品或者其包装上的标识不符合前款规定的，责令改正；有包装的产品标识不符合前款第四项、第五项规定，情节严重的，责令停止生产、销售，并处违法生产、销售产品货值金额百分之三十以下的罚款；有违法所得的，并处没收违法所得。</w:t>
      </w:r>
    </w:p>
    <w:p>
      <w:pPr>
        <w:keepNext w:val="0"/>
        <w:keepLines w:val="0"/>
        <w:pageBreakBefore w:val="0"/>
        <w:kinsoku/>
        <w:wordWrap/>
        <w:overflowPunct/>
        <w:topLinePunct w:val="0"/>
        <w:autoSpaceDE/>
        <w:bidi w:val="0"/>
        <w:adjustRightInd w:val="0"/>
        <w:snapToGrid w:val="0"/>
        <w:spacing w:line="560" w:lineRule="exact"/>
        <w:ind w:firstLine="640" w:firstLineChars="200"/>
        <w:textAlignment w:val="auto"/>
        <w:rPr>
          <w:rFonts w:hint="default" w:ascii="仿宋_GB2312" w:hAnsi="仿宋_GB2312" w:eastAsia="仿宋_GB2312" w:cs="仿宋_GB2312"/>
          <w:sz w:val="32"/>
          <w:szCs w:val="32"/>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二十七</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本规定规定的违法行为，根据国家和本省规定已实施综合行政执法管理的，由市、县、自治县综合执法行政机构处理。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二十八</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没收和罚款使用</w:t>
      </w:r>
      <w:r>
        <w:rPr>
          <w:rFonts w:hint="eastAsia" w:ascii="仿宋_GB2312" w:hAnsi="仿宋_GB2312" w:eastAsia="仿宋_GB2312" w:cs="仿宋_GB2312"/>
          <w:sz w:val="32"/>
          <w:szCs w:val="32"/>
          <w:lang w:eastAsia="zh-CN"/>
        </w:rPr>
        <w:t>省财政部门</w:t>
      </w:r>
      <w:r>
        <w:rPr>
          <w:rFonts w:hint="eastAsia" w:ascii="仿宋_GB2312" w:hAnsi="仿宋_GB2312" w:eastAsia="仿宋_GB2312" w:cs="仿宋_GB2312"/>
          <w:sz w:val="32"/>
          <w:szCs w:val="32"/>
        </w:rPr>
        <w:t>统一印制的罚没收据。没收和罚款金额按规定上缴同级地方财政。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二十九</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从事产品质量监督检查的工作人员滥用职权、玩忽职守、徇私舞弊、包庇质量违法行为的，由其主管机关给予处分；因监督检查</w:t>
      </w:r>
      <w:r>
        <w:rPr>
          <w:rFonts w:hint="eastAsia" w:ascii="仿宋_GB2312" w:hAnsi="仿宋_GB2312" w:eastAsia="仿宋_GB2312" w:cs="仿宋_GB2312"/>
          <w:sz w:val="32"/>
          <w:szCs w:val="32"/>
          <w:lang w:eastAsia="zh-CN"/>
        </w:rPr>
        <w:t>部门</w:t>
      </w:r>
      <w:r>
        <w:rPr>
          <w:rFonts w:hint="eastAsia" w:ascii="仿宋_GB2312" w:hAnsi="仿宋_GB2312" w:eastAsia="仿宋_GB2312" w:cs="仿宋_GB2312"/>
          <w:sz w:val="32"/>
          <w:szCs w:val="32"/>
        </w:rPr>
        <w:t>及其工作人员的行政违法行为给当事人造成经济损失的，应当由作出行政行为的机构先行赔偿，再视情节向直接责任人追偿。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对违反本条例规定的违法行为，情节严重，构成犯罪的，由司法机关依法追究刑事责任。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当事人对行政强制措施或者行政处罚不服的，可以依法申请行政复议或者提起行政诉讼。</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本条例具体应用问题由省人民政府负责解释。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三</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false">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FgAAAGRycy9QSwECFAAUAAAACACHTuJAzql5uc8AAAAFAQAADwAAAAAAAAAB&#10;ACAAAAA4AAAAZHJzL2Rvd25yZXYueG1sUEsBAhQAFAAAAAgAh07iQDvs5m7KAQAAcgMAAA4AAAAA&#10;AAAAAQAgAAAANAEAAGRycy9lMm9Eb2MueG1sUEsFBgAAAAAGAAYAWQEAAHA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false">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WAAAAZHJzL1BLAQIUABQAAAAIAIdO4kDOqXm5zwAAAAUBAAAPAAAAAAAA&#10;AAEAIAAAADgAAABkcnMvZG93bnJldi54bWxQSwECFAAUAAAACACHTuJADB36c8wBAAByAwAADgAA&#10;AAAAAAABACAAAAA0AQAAZHJzL2Uyb0RvYy54bWxQSwUGAAAAAAYABgBZAQAAcgU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5970CC"/>
    <w:rsid w:val="125970CC"/>
    <w:rsid w:val="30BD56EB"/>
    <w:rsid w:val="3FFD18A3"/>
    <w:rsid w:val="57FFE364"/>
    <w:rsid w:val="5EFFDCBE"/>
    <w:rsid w:val="60493D85"/>
    <w:rsid w:val="63DA1A4A"/>
    <w:rsid w:val="6DFEDB13"/>
    <w:rsid w:val="777E83E8"/>
    <w:rsid w:val="7F7BA5D1"/>
    <w:rsid w:val="9F5FE97E"/>
    <w:rsid w:val="A8CE6188"/>
    <w:rsid w:val="B8FFF0FD"/>
    <w:rsid w:val="C263D6CF"/>
    <w:rsid w:val="DBBEEA5C"/>
    <w:rsid w:val="EFFE9AA3"/>
    <w:rsid w:val="EFFF9ECF"/>
    <w:rsid w:val="FBF33E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tcPr>
      <w:textDirection w:val="btLr"/>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2017-01-21T20:03:00Z</dcterms:created>
  <dc:creator>Administrator</dc:creator>
  <cp:lastModifiedBy>uos</cp:lastModifiedBy>
  <dcterms:modified xsi:type="dcterms:W3CDTF">2021-09-30T20:09:13Z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