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00" w:lineRule="exact"/>
        <w:rPr>
          <w:rFonts w:ascii="黑体" w:hAnsi="黑体" w:eastAsia="黑体"/>
          <w:sz w:val="28"/>
          <w:szCs w:val="28"/>
        </w:rPr>
      </w:pPr>
    </w:p>
    <w:p>
      <w:pPr>
        <w:spacing w:line="700" w:lineRule="exact"/>
        <w:jc w:val="center"/>
        <w:rPr>
          <w:rFonts w:hint="eastAsia" w:ascii="方正小标宋简体" w:hAnsi="方正小标宋简体" w:eastAsia="方正小标宋简体" w:cs="方正小标宋简体"/>
          <w:b w:val="0"/>
          <w:bCs/>
          <w:sz w:val="44"/>
          <w:szCs w:val="44"/>
        </w:rPr>
      </w:pPr>
      <w:bookmarkStart w:id="3" w:name="_GoBack"/>
      <w:r>
        <w:rPr>
          <w:rFonts w:hint="eastAsia" w:ascii="方正小标宋简体" w:hAnsi="方正小标宋简体" w:eastAsia="方正小标宋简体" w:cs="方正小标宋简体"/>
          <w:b w:val="0"/>
          <w:bCs/>
          <w:sz w:val="44"/>
          <w:szCs w:val="44"/>
        </w:rPr>
        <w:t>海南省人民代表大会常务委员会</w:t>
      </w:r>
    </w:p>
    <w:p>
      <w:pPr>
        <w:spacing w:line="700" w:lineRule="exact"/>
        <w:jc w:val="center"/>
        <w:rPr>
          <w:rFonts w:hint="eastAsia" w:ascii="方正小标宋简体" w:hAnsi="方正小标宋简体" w:eastAsia="方正小标宋简体" w:cs="方正小标宋简体"/>
          <w:b w:val="0"/>
          <w:bCs/>
          <w:sz w:val="44"/>
          <w:szCs w:val="44"/>
        </w:rPr>
      </w:pPr>
      <w:r>
        <w:rPr>
          <w:rFonts w:hint="eastAsia" w:ascii="方正小标宋简体" w:hAnsi="方正小标宋简体" w:eastAsia="方正小标宋简体" w:cs="方正小标宋简体"/>
          <w:b w:val="0"/>
          <w:bCs/>
          <w:sz w:val="44"/>
          <w:szCs w:val="44"/>
        </w:rPr>
        <w:t>关于修改《海南省电信设施建设与保护</w:t>
      </w:r>
    </w:p>
    <w:p>
      <w:pPr>
        <w:spacing w:line="700" w:lineRule="exact"/>
        <w:jc w:val="center"/>
        <w:rPr>
          <w:rFonts w:hint="eastAsia" w:ascii="方正小标宋简体" w:hAnsi="方正小标宋简体" w:eastAsia="方正小标宋简体" w:cs="方正小标宋简体"/>
          <w:b w:val="0"/>
          <w:bCs/>
          <w:sz w:val="44"/>
          <w:szCs w:val="44"/>
        </w:rPr>
      </w:pPr>
      <w:r>
        <w:rPr>
          <w:rFonts w:hint="eastAsia" w:ascii="方正小标宋简体" w:hAnsi="方正小标宋简体" w:eastAsia="方正小标宋简体" w:cs="方正小标宋简体"/>
          <w:b w:val="0"/>
          <w:bCs/>
          <w:sz w:val="44"/>
          <w:szCs w:val="44"/>
        </w:rPr>
        <w:t>条例》的决定</w:t>
      </w:r>
    </w:p>
    <w:bookmarkEnd w:id="3"/>
    <w:p>
      <w:pPr>
        <w:jc w:val="center"/>
        <w:rPr>
          <w:rFonts w:ascii="仿宋_GB2312" w:eastAsia="仿宋_GB2312"/>
          <w:sz w:val="32"/>
          <w:szCs w:val="32"/>
        </w:rPr>
      </w:pPr>
    </w:p>
    <w:p>
      <w:pPr>
        <w:spacing w:line="560" w:lineRule="exact"/>
        <w:jc w:val="center"/>
        <w:rPr>
          <w:rFonts w:ascii="仿宋_GB2312" w:eastAsia="仿宋_GB2312"/>
          <w:sz w:val="32"/>
          <w:szCs w:val="32"/>
        </w:rPr>
      </w:pPr>
      <w:r>
        <w:rPr>
          <w:rFonts w:hint="eastAsia" w:ascii="仿宋_GB2312" w:eastAsia="仿宋_GB2312"/>
          <w:sz w:val="32"/>
          <w:szCs w:val="32"/>
        </w:rPr>
        <w:t>（2020年12月2日海南省第六届人民代表大会常务委员会</w:t>
      </w:r>
    </w:p>
    <w:p>
      <w:pPr>
        <w:spacing w:line="560" w:lineRule="exact"/>
        <w:jc w:val="center"/>
        <w:rPr>
          <w:rFonts w:ascii="仿宋_GB2312" w:eastAsia="仿宋_GB2312"/>
          <w:sz w:val="32"/>
          <w:szCs w:val="32"/>
        </w:rPr>
      </w:pPr>
      <w:r>
        <w:rPr>
          <w:rFonts w:hint="eastAsia" w:ascii="仿宋_GB2312" w:eastAsia="仿宋_GB2312"/>
          <w:sz w:val="32"/>
          <w:szCs w:val="32"/>
        </w:rPr>
        <w:t>第二十四次会议通过）</w:t>
      </w:r>
    </w:p>
    <w:p>
      <w:pPr>
        <w:spacing w:line="560" w:lineRule="exact"/>
        <w:jc w:val="center"/>
        <w:rPr>
          <w:b/>
          <w:sz w:val="44"/>
          <w:szCs w:val="44"/>
        </w:rPr>
      </w:pPr>
    </w:p>
    <w:p>
      <w:pPr>
        <w:spacing w:line="560" w:lineRule="exact"/>
        <w:ind w:firstLine="640" w:firstLineChars="200"/>
        <w:rPr>
          <w:rFonts w:ascii="仿宋_GB2312" w:eastAsia="仿宋_GB2312"/>
          <w:sz w:val="32"/>
          <w:szCs w:val="32"/>
        </w:rPr>
      </w:pPr>
      <w:r>
        <w:rPr>
          <w:rFonts w:hint="eastAsia" w:ascii="仿宋_GB2312" w:eastAsia="仿宋_GB2312"/>
          <w:sz w:val="32"/>
          <w:szCs w:val="32"/>
        </w:rPr>
        <w:t>海南省第六届人民代表大会常务委员会第二十四次会议决定对</w:t>
      </w:r>
      <w:r>
        <w:rPr>
          <w:rFonts w:ascii="仿宋_GB2312" w:eastAsia="仿宋_GB2312"/>
          <w:sz w:val="32"/>
          <w:szCs w:val="32"/>
        </w:rPr>
        <w:t>《</w:t>
      </w:r>
      <w:r>
        <w:rPr>
          <w:rFonts w:hint="eastAsia" w:ascii="仿宋_GB2312" w:eastAsia="仿宋_GB2312"/>
          <w:sz w:val="32"/>
          <w:szCs w:val="32"/>
        </w:rPr>
        <w:t>海南省</w:t>
      </w:r>
      <w:r>
        <w:rPr>
          <w:rFonts w:ascii="仿宋_GB2312" w:eastAsia="仿宋_GB2312"/>
          <w:sz w:val="32"/>
          <w:szCs w:val="32"/>
        </w:rPr>
        <w:t>电信设施建设与保护条例》</w:t>
      </w:r>
      <w:r>
        <w:rPr>
          <w:rFonts w:hint="eastAsia" w:ascii="仿宋_GB2312" w:eastAsia="仿宋_GB2312"/>
          <w:sz w:val="32"/>
          <w:szCs w:val="32"/>
        </w:rPr>
        <w:t>作</w:t>
      </w:r>
      <w:r>
        <w:rPr>
          <w:rFonts w:ascii="仿宋_GB2312" w:eastAsia="仿宋_GB2312"/>
          <w:sz w:val="32"/>
          <w:szCs w:val="32"/>
        </w:rPr>
        <w:t>如下修改：</w:t>
      </w:r>
    </w:p>
    <w:p>
      <w:pPr>
        <w:spacing w:line="560" w:lineRule="exact"/>
        <w:ind w:firstLine="640" w:firstLineChars="200"/>
        <w:rPr>
          <w:rFonts w:ascii="仿宋_GB2312" w:eastAsia="仿宋_GB2312"/>
          <w:sz w:val="32"/>
          <w:szCs w:val="32"/>
        </w:rPr>
      </w:pPr>
      <w:r>
        <w:rPr>
          <w:rFonts w:ascii="黑体" w:hAnsi="黑体" w:eastAsia="黑体"/>
          <w:sz w:val="32"/>
          <w:szCs w:val="32"/>
        </w:rPr>
        <w:t>一、</w:t>
      </w:r>
      <w:r>
        <w:rPr>
          <w:rFonts w:hint="eastAsia" w:ascii="仿宋_GB2312" w:eastAsia="仿宋_GB2312"/>
          <w:sz w:val="32"/>
          <w:szCs w:val="32"/>
        </w:rPr>
        <w:t>增加一条</w:t>
      </w:r>
      <w:r>
        <w:rPr>
          <w:rFonts w:ascii="仿宋_GB2312" w:eastAsia="仿宋_GB2312"/>
          <w:sz w:val="32"/>
          <w:szCs w:val="32"/>
        </w:rPr>
        <w:t>作为第</w:t>
      </w:r>
      <w:r>
        <w:rPr>
          <w:rFonts w:hint="eastAsia" w:ascii="仿宋_GB2312" w:eastAsia="仿宋_GB2312"/>
          <w:sz w:val="32"/>
          <w:szCs w:val="32"/>
        </w:rPr>
        <w:t>五</w:t>
      </w:r>
      <w:r>
        <w:rPr>
          <w:rFonts w:ascii="仿宋_GB2312" w:eastAsia="仿宋_GB2312"/>
          <w:sz w:val="32"/>
          <w:szCs w:val="32"/>
        </w:rPr>
        <w:t>条：</w:t>
      </w:r>
      <w:r>
        <w:rPr>
          <w:rFonts w:hint="eastAsia" w:ascii="仿宋_GB2312" w:eastAsia="仿宋_GB2312"/>
          <w:sz w:val="32"/>
          <w:szCs w:val="32"/>
        </w:rPr>
        <w:t>“各级人民</w:t>
      </w:r>
      <w:r>
        <w:rPr>
          <w:rFonts w:ascii="仿宋_GB2312" w:eastAsia="仿宋_GB2312"/>
          <w:sz w:val="32"/>
          <w:szCs w:val="32"/>
        </w:rPr>
        <w:t>政府、村（</w:t>
      </w:r>
      <w:r>
        <w:rPr>
          <w:rFonts w:hint="eastAsia" w:ascii="仿宋_GB2312" w:eastAsia="仿宋_GB2312"/>
          <w:sz w:val="32"/>
          <w:szCs w:val="32"/>
        </w:rPr>
        <w:t>居</w:t>
      </w:r>
      <w:r>
        <w:rPr>
          <w:rFonts w:ascii="仿宋_GB2312" w:eastAsia="仿宋_GB2312"/>
          <w:sz w:val="32"/>
          <w:szCs w:val="32"/>
        </w:rPr>
        <w:t>）</w:t>
      </w:r>
      <w:r>
        <w:rPr>
          <w:rFonts w:hint="eastAsia" w:ascii="仿宋_GB2312" w:eastAsia="仿宋_GB2312"/>
          <w:sz w:val="32"/>
          <w:szCs w:val="32"/>
        </w:rPr>
        <w:t>民</w:t>
      </w:r>
      <w:r>
        <w:rPr>
          <w:rFonts w:ascii="仿宋_GB2312" w:eastAsia="仿宋_GB2312"/>
          <w:sz w:val="32"/>
          <w:szCs w:val="32"/>
        </w:rPr>
        <w:t>委员会和社区应当加强电信设施建设的科普教育和宣传工作。</w:t>
      </w:r>
      <w:r>
        <w:rPr>
          <w:rFonts w:hint="eastAsia" w:ascii="仿宋_GB2312" w:eastAsia="仿宋_GB2312"/>
          <w:sz w:val="32"/>
          <w:szCs w:val="32"/>
        </w:rPr>
        <w:t>”</w:t>
      </w:r>
    </w:p>
    <w:p>
      <w:pPr>
        <w:spacing w:line="560" w:lineRule="exact"/>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sz w:val="32"/>
          <w:szCs w:val="32"/>
        </w:rPr>
        <w:t>二、</w:t>
      </w:r>
      <w:r>
        <w:rPr>
          <w:rFonts w:hint="eastAsia" w:ascii="仿宋_GB2312" w:eastAsia="仿宋_GB2312"/>
          <w:sz w:val="32"/>
          <w:szCs w:val="32"/>
        </w:rPr>
        <w:t>将第七</w:t>
      </w:r>
      <w:r>
        <w:rPr>
          <w:rFonts w:ascii="仿宋_GB2312" w:eastAsia="仿宋_GB2312"/>
          <w:sz w:val="32"/>
          <w:szCs w:val="32"/>
        </w:rPr>
        <w:t>条改为</w:t>
      </w:r>
      <w:r>
        <w:rPr>
          <w:rFonts w:hint="eastAsia" w:ascii="仿宋_GB2312" w:eastAsia="仿宋_GB2312"/>
          <w:sz w:val="32"/>
          <w:szCs w:val="32"/>
        </w:rPr>
        <w:t>第八条，修改为：“县级以上人民政府应当将电信设施建设专项规划纳入国土空间规划，以及道路交通、城市地下综合管廊建设等专项规划，同步安排通信光缆、管道、基站、铁塔、机房等电信设施建设内容。</w:t>
      </w:r>
    </w:p>
    <w:p>
      <w:pPr>
        <w:spacing w:line="560" w:lineRule="exact"/>
        <w:rPr>
          <w:rFonts w:ascii="仿宋_GB2312" w:eastAsia="仿宋_GB2312"/>
          <w:sz w:val="32"/>
          <w:szCs w:val="32"/>
        </w:rPr>
      </w:pPr>
      <w:r>
        <w:rPr>
          <w:rFonts w:hint="eastAsia" w:ascii="仿宋_GB2312" w:eastAsia="仿宋_GB2312"/>
          <w:sz w:val="32"/>
          <w:szCs w:val="32"/>
        </w:rPr>
        <w:t xml:space="preserve">    “省电信管理机构应当根据国家信息通信业发展规划、本省国民经济和社会发展规划，组织编制全省电信业发展规划。</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县级以上工业和信息化行政主管部门应当会同自然资源和规划、交通运输等行政主管部门，根据国土空间规划，组织编制本行政区域内的电信设施建设专项规划，报本级人民政府批准。电信设施建设专项规划有关内容纳入相关市、县、自治县详细规划。”</w:t>
      </w:r>
    </w:p>
    <w:p>
      <w:pPr>
        <w:spacing w:line="560" w:lineRule="exact"/>
        <w:ind w:firstLine="660"/>
        <w:jc w:val="both"/>
        <w:rPr>
          <w:rFonts w:ascii="仿宋_GB2312" w:eastAsia="仿宋_GB2312"/>
          <w:sz w:val="32"/>
          <w:szCs w:val="32"/>
        </w:rPr>
      </w:pPr>
      <w:r>
        <w:rPr>
          <w:rFonts w:hint="eastAsia" w:ascii="黑体" w:hAnsi="黑体" w:eastAsia="黑体" w:cs="仿宋"/>
          <w:sz w:val="32"/>
          <w:szCs w:val="32"/>
          <w:shd w:val="clear" w:color="auto" w:fill="FFFFFF"/>
        </w:rPr>
        <w:t>三、</w:t>
      </w:r>
      <w:r>
        <w:rPr>
          <w:rFonts w:hint="eastAsia" w:ascii="仿宋_GB2312" w:hAnsi="仿宋" w:eastAsia="仿宋_GB2312" w:cs="仿宋"/>
          <w:bCs/>
          <w:sz w:val="32"/>
          <w:szCs w:val="32"/>
        </w:rPr>
        <w:t>将第</w:t>
      </w:r>
      <w:r>
        <w:rPr>
          <w:rFonts w:ascii="仿宋_GB2312" w:hAnsi="仿宋" w:eastAsia="仿宋_GB2312" w:cs="仿宋"/>
          <w:bCs/>
          <w:sz w:val="32"/>
          <w:szCs w:val="32"/>
        </w:rPr>
        <w:t>十</w:t>
      </w:r>
      <w:r>
        <w:rPr>
          <w:rFonts w:hint="eastAsia" w:ascii="仿宋_GB2312" w:hAnsi="仿宋" w:eastAsia="仿宋_GB2312" w:cs="仿宋"/>
          <w:bCs/>
          <w:sz w:val="32"/>
          <w:szCs w:val="32"/>
        </w:rPr>
        <w:t>三</w:t>
      </w:r>
      <w:r>
        <w:rPr>
          <w:rFonts w:ascii="仿宋_GB2312" w:hAnsi="仿宋" w:eastAsia="仿宋_GB2312" w:cs="仿宋"/>
          <w:bCs/>
          <w:sz w:val="32"/>
          <w:szCs w:val="32"/>
        </w:rPr>
        <w:t>条改为</w:t>
      </w:r>
      <w:r>
        <w:rPr>
          <w:rFonts w:hint="eastAsia" w:ascii="仿宋_GB2312" w:hAnsi="仿宋" w:eastAsia="仿宋_GB2312" w:cs="仿宋"/>
          <w:bCs/>
          <w:sz w:val="32"/>
          <w:szCs w:val="32"/>
        </w:rPr>
        <w:t>第十四条，修改为：</w:t>
      </w:r>
      <w:r>
        <w:rPr>
          <w:rFonts w:hint="eastAsia" w:ascii="仿宋_GB2312" w:hAnsi="仿宋" w:eastAsia="仿宋_GB2312" w:cs="仿宋"/>
          <w:b/>
          <w:sz w:val="32"/>
          <w:szCs w:val="32"/>
        </w:rPr>
        <w:t>“</w:t>
      </w:r>
      <w:r>
        <w:rPr>
          <w:rFonts w:hint="eastAsia" w:ascii="仿宋_GB2312" w:hAnsi="仿宋" w:eastAsia="仿宋_GB2312" w:cs="仿宋"/>
          <w:sz w:val="32"/>
          <w:szCs w:val="32"/>
        </w:rPr>
        <w:t>移动通信基站的电磁辐射应当符合国家防护标准</w:t>
      </w:r>
      <w:r>
        <w:rPr>
          <w:rFonts w:hint="eastAsia" w:ascii="仿宋_GB2312" w:eastAsia="仿宋_GB2312"/>
          <w:sz w:val="32"/>
          <w:szCs w:val="32"/>
        </w:rPr>
        <w:t>。电信</w:t>
      </w:r>
      <w:r>
        <w:rPr>
          <w:rFonts w:ascii="仿宋_GB2312" w:eastAsia="仿宋_GB2312"/>
          <w:sz w:val="32"/>
          <w:szCs w:val="32"/>
        </w:rPr>
        <w:t>业务经营者</w:t>
      </w:r>
      <w:r>
        <w:rPr>
          <w:rFonts w:hint="eastAsia" w:ascii="仿宋_GB2312" w:eastAsia="仿宋_GB2312"/>
          <w:sz w:val="32"/>
          <w:szCs w:val="32"/>
        </w:rPr>
        <w:t>应当对周围电磁辐射环境敏感目标进行电磁辐射环境监测，生态</w:t>
      </w:r>
      <w:r>
        <w:rPr>
          <w:rFonts w:ascii="仿宋_GB2312" w:eastAsia="仿宋_GB2312"/>
          <w:sz w:val="32"/>
          <w:szCs w:val="32"/>
        </w:rPr>
        <w:t>环境</w:t>
      </w:r>
      <w:r>
        <w:rPr>
          <w:rFonts w:hint="eastAsia" w:ascii="仿宋_GB2312" w:eastAsia="仿宋_GB2312"/>
          <w:sz w:val="32"/>
          <w:szCs w:val="32"/>
        </w:rPr>
        <w:t>行政</w:t>
      </w:r>
      <w:r>
        <w:rPr>
          <w:rFonts w:ascii="仿宋_GB2312" w:eastAsia="仿宋_GB2312"/>
          <w:sz w:val="32"/>
          <w:szCs w:val="32"/>
        </w:rPr>
        <w:t>主管部门依法对移动通信基站</w:t>
      </w:r>
      <w:r>
        <w:rPr>
          <w:rFonts w:hint="eastAsia" w:ascii="仿宋_GB2312" w:eastAsia="仿宋_GB2312"/>
          <w:sz w:val="32"/>
          <w:szCs w:val="32"/>
        </w:rPr>
        <w:t>电磁辐射</w:t>
      </w:r>
      <w:r>
        <w:rPr>
          <w:rFonts w:ascii="仿宋_GB2312" w:eastAsia="仿宋_GB2312"/>
          <w:sz w:val="32"/>
          <w:szCs w:val="32"/>
        </w:rPr>
        <w:t>环境保护进行监督检查。</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“建设单位应当对配套建设的电信设施、广播电视传输网络设施及环境保护设施进行验收。</w:t>
      </w:r>
      <w:r>
        <w:rPr>
          <w:rFonts w:ascii="仿宋_GB2312" w:eastAsia="仿宋_GB2312"/>
          <w:sz w:val="32"/>
          <w:szCs w:val="32"/>
        </w:rPr>
        <w:t>”</w:t>
      </w:r>
    </w:p>
    <w:p>
      <w:pPr>
        <w:spacing w:line="560" w:lineRule="exact"/>
        <w:ind w:firstLine="660"/>
        <w:jc w:val="both"/>
        <w:rPr>
          <w:rFonts w:ascii="仿宋_GB2312" w:eastAsia="仿宋_GB2312"/>
          <w:sz w:val="32"/>
          <w:szCs w:val="32"/>
        </w:rPr>
      </w:pPr>
      <w:r>
        <w:rPr>
          <w:rFonts w:hint="eastAsia" w:ascii="黑体" w:hAnsi="黑体" w:eastAsia="黑体" w:cs="仿宋"/>
          <w:bCs/>
          <w:sz w:val="32"/>
          <w:szCs w:val="32"/>
        </w:rPr>
        <w:t>四、</w:t>
      </w:r>
      <w:r>
        <w:rPr>
          <w:rFonts w:hint="eastAsia" w:ascii="仿宋_GB2312" w:hAnsi="仿宋" w:eastAsia="仿宋_GB2312" w:cs="仿宋"/>
          <w:bCs/>
          <w:sz w:val="32"/>
          <w:szCs w:val="32"/>
        </w:rPr>
        <w:t>将第</w:t>
      </w:r>
      <w:r>
        <w:rPr>
          <w:rFonts w:ascii="仿宋_GB2312" w:hAnsi="仿宋" w:eastAsia="仿宋_GB2312" w:cs="仿宋"/>
          <w:bCs/>
          <w:sz w:val="32"/>
          <w:szCs w:val="32"/>
        </w:rPr>
        <w:t>十</w:t>
      </w:r>
      <w:r>
        <w:rPr>
          <w:rFonts w:hint="eastAsia" w:ascii="仿宋_GB2312" w:hAnsi="仿宋" w:eastAsia="仿宋_GB2312" w:cs="仿宋"/>
          <w:bCs/>
          <w:sz w:val="32"/>
          <w:szCs w:val="32"/>
        </w:rPr>
        <w:t>六</w:t>
      </w:r>
      <w:r>
        <w:rPr>
          <w:rFonts w:ascii="仿宋_GB2312" w:hAnsi="仿宋" w:eastAsia="仿宋_GB2312" w:cs="仿宋"/>
          <w:bCs/>
          <w:sz w:val="32"/>
          <w:szCs w:val="32"/>
        </w:rPr>
        <w:t>条第二款改为</w:t>
      </w:r>
      <w:r>
        <w:rPr>
          <w:rFonts w:hint="eastAsia" w:ascii="仿宋_GB2312" w:hAnsi="仿宋" w:eastAsia="仿宋_GB2312" w:cs="仿宋"/>
          <w:bCs/>
          <w:sz w:val="32"/>
          <w:szCs w:val="32"/>
        </w:rPr>
        <w:t>第十七条第二款，修改为：“院校、展览馆、旅游景点等所属建筑物、构筑物，机场、公路、铁路、桥梁、隧道、铁路车站、公路客运站（公有）、公共绿化区等公共区域以及路灯、道路指示牌等公共设施，用于通信基站、通信管道等建设的，其产权人、管理人和使用人应当开</w:t>
      </w:r>
      <w:r>
        <w:rPr>
          <w:rFonts w:hint="eastAsia" w:ascii="仿宋_GB2312" w:eastAsia="仿宋_GB2312"/>
          <w:sz w:val="32"/>
          <w:szCs w:val="32"/>
        </w:rPr>
        <w:t>放，并提供</w:t>
      </w:r>
      <w:r>
        <w:rPr>
          <w:rFonts w:ascii="仿宋_GB2312" w:eastAsia="仿宋_GB2312"/>
          <w:sz w:val="32"/>
          <w:szCs w:val="32"/>
        </w:rPr>
        <w:t>进入和用电便利</w:t>
      </w:r>
      <w:r>
        <w:rPr>
          <w:rFonts w:hint="eastAsia" w:ascii="仿宋_GB2312" w:eastAsia="仿宋_GB2312"/>
          <w:sz w:val="32"/>
          <w:szCs w:val="32"/>
        </w:rPr>
        <w:t>。”</w:t>
      </w:r>
    </w:p>
    <w:p>
      <w:pPr>
        <w:spacing w:line="560" w:lineRule="exact"/>
        <w:ind w:firstLine="660"/>
        <w:jc w:val="both"/>
        <w:rPr>
          <w:rFonts w:ascii="仿宋_GB2312" w:eastAsia="仿宋_GB2312"/>
          <w:sz w:val="32"/>
          <w:szCs w:val="32"/>
        </w:rPr>
      </w:pPr>
      <w:r>
        <w:rPr>
          <w:rFonts w:hint="eastAsia" w:ascii="仿宋_GB2312" w:eastAsia="仿宋_GB2312"/>
          <w:sz w:val="32"/>
          <w:szCs w:val="32"/>
        </w:rPr>
        <w:t>增加一款，作为第十七条第三款：</w:t>
      </w:r>
      <w:r>
        <w:rPr>
          <w:rFonts w:ascii="仿宋_GB2312" w:eastAsia="仿宋_GB2312"/>
          <w:sz w:val="32"/>
          <w:szCs w:val="32"/>
        </w:rPr>
        <w:t>“</w:t>
      </w:r>
      <w:r>
        <w:rPr>
          <w:rFonts w:hint="eastAsia" w:ascii="仿宋_GB2312" w:eastAsia="仿宋_GB2312"/>
          <w:sz w:val="32"/>
          <w:szCs w:val="32"/>
        </w:rPr>
        <w:t>本省</w:t>
      </w:r>
      <w:r>
        <w:rPr>
          <w:rFonts w:ascii="仿宋_GB2312" w:eastAsia="仿宋_GB2312"/>
          <w:sz w:val="32"/>
          <w:szCs w:val="32"/>
        </w:rPr>
        <w:t>行政区域内的各级国家机关、</w:t>
      </w:r>
      <w:r>
        <w:rPr>
          <w:rFonts w:hint="eastAsia" w:ascii="仿宋_GB2312" w:eastAsia="仿宋_GB2312"/>
          <w:sz w:val="32"/>
          <w:szCs w:val="32"/>
        </w:rPr>
        <w:t>事业单位</w:t>
      </w:r>
      <w:r>
        <w:rPr>
          <w:rFonts w:ascii="仿宋_GB2312" w:eastAsia="仿宋_GB2312"/>
          <w:sz w:val="32"/>
          <w:szCs w:val="32"/>
        </w:rPr>
        <w:t>、国有企业等所辖的公共区域、绿地、楼面、楼顶、灯杆、桥梁、隧道、公路附属设施等公共设施应当按照规定向各通信企业建设基站、管线、机房等电信基础设施时免费开放，并提供进入和用电便利。”</w:t>
      </w:r>
    </w:p>
    <w:p>
      <w:pPr>
        <w:spacing w:line="560" w:lineRule="exact"/>
        <w:rPr>
          <w:rFonts w:ascii="仿宋_GB2312" w:hAnsi="仿宋" w:eastAsia="仿宋_GB2312" w:cs="仿宋"/>
          <w:sz w:val="32"/>
          <w:szCs w:val="32"/>
        </w:rPr>
      </w:pPr>
      <w:r>
        <w:rPr>
          <w:rFonts w:hint="eastAsia" w:ascii="仿宋" w:hAnsi="仿宋" w:eastAsia="仿宋" w:cs="仿宋"/>
          <w:b/>
          <w:bCs/>
          <w:sz w:val="32"/>
          <w:szCs w:val="32"/>
        </w:rPr>
        <w:t xml:space="preserve">  </w:t>
      </w:r>
      <w:r>
        <w:rPr>
          <w:rFonts w:hint="eastAsia" w:ascii="黑体" w:hAnsi="黑体" w:eastAsia="黑体" w:cs="仿宋"/>
          <w:b/>
          <w:bCs/>
          <w:sz w:val="32"/>
          <w:szCs w:val="32"/>
        </w:rPr>
        <w:t xml:space="preserve">  </w:t>
      </w:r>
      <w:r>
        <w:rPr>
          <w:rFonts w:hint="eastAsia" w:ascii="黑体" w:hAnsi="黑体" w:eastAsia="黑体" w:cs="仿宋"/>
          <w:bCs/>
          <w:sz w:val="32"/>
          <w:szCs w:val="32"/>
        </w:rPr>
        <w:t>五、</w:t>
      </w:r>
      <w:r>
        <w:rPr>
          <w:rFonts w:hint="eastAsia" w:ascii="仿宋_GB2312" w:hAnsi="仿宋" w:eastAsia="仿宋_GB2312" w:cs="仿宋"/>
          <w:sz w:val="32"/>
          <w:szCs w:val="32"/>
        </w:rPr>
        <w:t>将</w:t>
      </w:r>
      <w:r>
        <w:rPr>
          <w:rFonts w:ascii="仿宋_GB2312" w:hAnsi="仿宋" w:eastAsia="仿宋_GB2312" w:cs="仿宋"/>
          <w:sz w:val="32"/>
          <w:szCs w:val="32"/>
        </w:rPr>
        <w:t>第十八条改为第十九条，</w:t>
      </w:r>
      <w:r>
        <w:rPr>
          <w:rFonts w:hint="eastAsia" w:ascii="仿宋_GB2312" w:hAnsi="仿宋" w:eastAsia="仿宋_GB2312" w:cs="仿宋"/>
          <w:bCs/>
          <w:sz w:val="32"/>
          <w:szCs w:val="32"/>
        </w:rPr>
        <w:t>增加两款，作为第二款、第三款：</w:t>
      </w:r>
      <w:r>
        <w:rPr>
          <w:rFonts w:hint="eastAsia" w:ascii="仿宋_GB2312" w:hAnsi="仿宋" w:eastAsia="仿宋_GB2312" w:cs="仿宋"/>
          <w:sz w:val="32"/>
          <w:szCs w:val="32"/>
        </w:rPr>
        <w:t>“建设和经营海底通信光（电）缆系统的电信业务经营者应当确保其他电信业务经营者</w:t>
      </w:r>
      <w:r>
        <w:rPr>
          <w:rFonts w:hint="eastAsia" w:ascii="仿宋_GB2312" w:eastAsia="仿宋_GB2312"/>
          <w:sz w:val="32"/>
          <w:szCs w:val="32"/>
        </w:rPr>
        <w:t>以公平</w:t>
      </w:r>
      <w:r>
        <w:rPr>
          <w:rFonts w:ascii="仿宋_GB2312" w:eastAsia="仿宋_GB2312"/>
          <w:sz w:val="32"/>
          <w:szCs w:val="32"/>
        </w:rPr>
        <w:t>、合理的条件</w:t>
      </w:r>
      <w:r>
        <w:rPr>
          <w:rFonts w:hint="eastAsia" w:ascii="仿宋_GB2312" w:eastAsia="仿宋_GB2312"/>
          <w:sz w:val="32"/>
          <w:szCs w:val="32"/>
        </w:rPr>
        <w:t>接入其海底通信光（电）缆系统及登陆系统。</w:t>
      </w:r>
    </w:p>
    <w:p>
      <w:pPr>
        <w:spacing w:line="560" w:lineRule="exact"/>
        <w:ind w:firstLine="640" w:firstLineChars="200"/>
        <w:jc w:val="both"/>
        <w:rPr>
          <w:rFonts w:ascii="仿宋_GB2312" w:hAnsi="仿宋" w:eastAsia="仿宋_GB2312" w:cs="仿宋"/>
          <w:sz w:val="32"/>
          <w:szCs w:val="32"/>
        </w:rPr>
      </w:pPr>
      <w:r>
        <w:rPr>
          <w:rFonts w:hint="eastAsia" w:ascii="仿宋_GB2312" w:hAnsi="仿宋" w:eastAsia="仿宋_GB2312" w:cs="仿宋"/>
          <w:sz w:val="32"/>
          <w:szCs w:val="32"/>
        </w:rPr>
        <w:t>“公共安全防护设施、道路交通和市政设施、广播电视和电力设施等与电信设施在符合有关法律法规和技术规范的前提下应当进行开放共享。”</w:t>
      </w:r>
    </w:p>
    <w:p>
      <w:pPr>
        <w:spacing w:line="560" w:lineRule="exact"/>
        <w:ind w:firstLine="640" w:firstLineChars="200"/>
        <w:jc w:val="both"/>
        <w:rPr>
          <w:rFonts w:ascii="仿宋_GB2312" w:hAnsi="仿宋" w:eastAsia="仿宋_GB2312" w:cs="仿宋"/>
          <w:sz w:val="32"/>
          <w:szCs w:val="32"/>
        </w:rPr>
      </w:pPr>
      <w:r>
        <w:rPr>
          <w:rFonts w:hint="eastAsia" w:ascii="黑体" w:hAnsi="黑体" w:eastAsia="黑体" w:cs="仿宋"/>
          <w:sz w:val="32"/>
          <w:szCs w:val="32"/>
        </w:rPr>
        <w:t>六、</w:t>
      </w:r>
      <w:r>
        <w:rPr>
          <w:rFonts w:hint="eastAsia" w:ascii="仿宋_GB2312" w:hAnsi="仿宋" w:eastAsia="仿宋_GB2312" w:cs="仿宋"/>
          <w:bCs/>
          <w:sz w:val="32"/>
          <w:szCs w:val="32"/>
        </w:rPr>
        <w:t>将第二十二条第三款改为</w:t>
      </w:r>
      <w:r>
        <w:rPr>
          <w:rFonts w:ascii="仿宋_GB2312" w:hAnsi="仿宋" w:eastAsia="仿宋_GB2312" w:cs="仿宋"/>
          <w:bCs/>
          <w:sz w:val="32"/>
          <w:szCs w:val="32"/>
        </w:rPr>
        <w:t>第二十三条第三款，</w:t>
      </w:r>
      <w:r>
        <w:rPr>
          <w:rFonts w:hint="eastAsia" w:ascii="仿宋_GB2312" w:hAnsi="仿宋" w:eastAsia="仿宋_GB2312" w:cs="仿宋"/>
          <w:bCs/>
          <w:sz w:val="32"/>
          <w:szCs w:val="32"/>
        </w:rPr>
        <w:t>修改为：</w:t>
      </w:r>
      <w:r>
        <w:rPr>
          <w:rFonts w:hint="eastAsia" w:ascii="仿宋_GB2312" w:hAnsi="黑体" w:eastAsia="仿宋_GB2312" w:cs="仿宋"/>
          <w:sz w:val="32"/>
          <w:szCs w:val="32"/>
        </w:rPr>
        <w:t>“</w:t>
      </w:r>
      <w:r>
        <w:rPr>
          <w:rFonts w:hint="eastAsia" w:ascii="仿宋_GB2312" w:hAnsi="仿宋" w:eastAsia="仿宋_GB2312" w:cs="仿宋"/>
          <w:bCs/>
          <w:sz w:val="32"/>
          <w:szCs w:val="32"/>
        </w:rPr>
        <w:t>因建设项目施工造成电信设施毁坏的，建设单位应当承担电信设施修复费用，</w:t>
      </w:r>
      <w:r>
        <w:rPr>
          <w:rFonts w:ascii="仿宋_GB2312" w:eastAsia="仿宋_GB2312"/>
          <w:sz w:val="32"/>
          <w:szCs w:val="32"/>
        </w:rPr>
        <w:t>并依法赔偿相关损失。”</w:t>
      </w:r>
    </w:p>
    <w:p>
      <w:pPr>
        <w:spacing w:line="560" w:lineRule="exact"/>
        <w:rPr>
          <w:rFonts w:ascii="仿宋_GB2312" w:hAnsi="黑体" w:eastAsia="仿宋_GB2312" w:cs="仿宋"/>
          <w:sz w:val="32"/>
          <w:szCs w:val="32"/>
        </w:rPr>
      </w:pPr>
      <w:r>
        <w:rPr>
          <w:rFonts w:hint="eastAsia" w:ascii="仿宋_GB2312" w:hAnsi="仿宋" w:eastAsia="仿宋_GB2312" w:cs="仿宋"/>
          <w:bCs/>
          <w:sz w:val="32"/>
          <w:szCs w:val="32"/>
        </w:rPr>
        <w:t xml:space="preserve">    </w:t>
      </w:r>
      <w:r>
        <w:rPr>
          <w:rFonts w:hint="eastAsia" w:ascii="黑体" w:hAnsi="黑体" w:eastAsia="黑体" w:cs="仿宋"/>
          <w:bCs/>
          <w:sz w:val="32"/>
          <w:szCs w:val="32"/>
        </w:rPr>
        <w:t>七、</w:t>
      </w:r>
      <w:r>
        <w:rPr>
          <w:rFonts w:hint="eastAsia" w:ascii="仿宋_GB2312" w:hAnsi="仿宋" w:eastAsia="仿宋_GB2312" w:cs="仿宋"/>
          <w:bCs/>
          <w:sz w:val="32"/>
          <w:szCs w:val="32"/>
        </w:rPr>
        <w:t>将第三十一条改为</w:t>
      </w:r>
      <w:r>
        <w:rPr>
          <w:rFonts w:ascii="仿宋_GB2312" w:hAnsi="仿宋" w:eastAsia="仿宋_GB2312" w:cs="仿宋"/>
          <w:bCs/>
          <w:sz w:val="32"/>
          <w:szCs w:val="32"/>
        </w:rPr>
        <w:t>第三十二条，</w:t>
      </w:r>
      <w:r>
        <w:rPr>
          <w:rFonts w:hint="eastAsia" w:ascii="仿宋_GB2312" w:hAnsi="仿宋" w:eastAsia="仿宋_GB2312" w:cs="仿宋"/>
          <w:bCs/>
          <w:sz w:val="32"/>
          <w:szCs w:val="32"/>
        </w:rPr>
        <w:t>增加一款，作为第二款：“公共机构、公共场所、公共设施的产权人、管理人或者使用人违反本条例第十七条第二款、第三款和第十九条第三款规定，不向电信业务经营者开放的，由其上级机关或者主管部门责令改正；拒不改正的，对负有责任的领导人员和直接责任人员按照有关规定给予处理。”</w:t>
      </w:r>
    </w:p>
    <w:p>
      <w:pPr>
        <w:spacing w:line="560" w:lineRule="exact"/>
        <w:ind w:firstLine="640" w:firstLineChars="200"/>
        <w:rPr>
          <w:rFonts w:ascii="仿宋_GB2312" w:hAnsi="仿宋" w:eastAsia="仿宋_GB2312" w:cs="仿宋"/>
          <w:b/>
          <w:sz w:val="32"/>
          <w:szCs w:val="32"/>
        </w:rPr>
      </w:pPr>
      <w:r>
        <w:rPr>
          <w:rFonts w:hint="eastAsia" w:ascii="黑体" w:hAnsi="黑体" w:eastAsia="黑体" w:cs="仿宋"/>
          <w:bCs/>
          <w:sz w:val="32"/>
          <w:szCs w:val="32"/>
        </w:rPr>
        <w:t>八、</w:t>
      </w:r>
      <w:r>
        <w:rPr>
          <w:rFonts w:hint="eastAsia" w:ascii="仿宋_GB2312" w:hAnsi="仿宋" w:eastAsia="仿宋_GB2312" w:cs="仿宋"/>
          <w:bCs/>
          <w:sz w:val="32"/>
          <w:szCs w:val="32"/>
        </w:rPr>
        <w:t>将条例中的“国土资源”“海洋” 修改为“自然资源和规划”；“环保”修改为“生态环境”；“交通”修改为“交通运输”；“价格”修改为“发展改革”；“广播电视”修改为“旅游和文化”；“工商”修改为“市场监督管理”。</w:t>
      </w:r>
    </w:p>
    <w:p>
      <w:pPr>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此外，还对个别条文顺序作相应调整。</w:t>
      </w:r>
    </w:p>
    <w:p>
      <w:pPr>
        <w:spacing w:line="560" w:lineRule="exact"/>
        <w:ind w:firstLine="640" w:firstLineChars="200"/>
        <w:rPr>
          <w:rFonts w:ascii="仿宋_GB2312" w:eastAsia="仿宋_GB2312"/>
          <w:bCs/>
          <w:color w:val="000000"/>
          <w:sz w:val="32"/>
          <w:shd w:val="clear" w:color="auto" w:fill="FFFFFF"/>
        </w:rPr>
      </w:pPr>
      <w:r>
        <w:rPr>
          <w:rFonts w:hint="eastAsia" w:ascii="仿宋_GB2312" w:hAnsi="黑体" w:eastAsia="仿宋_GB2312"/>
          <w:bCs/>
          <w:color w:val="000000"/>
          <w:sz w:val="32"/>
          <w:shd w:val="clear" w:color="auto" w:fill="FFFFFF"/>
        </w:rPr>
        <w:t>本决定自</w:t>
      </w:r>
      <w:r>
        <w:rPr>
          <w:rFonts w:hint="eastAsia" w:ascii="仿宋_GB2312" w:hAnsi="仿宋" w:eastAsia="仿宋_GB2312" w:cs="仿宋"/>
          <w:bCs/>
          <w:sz w:val="32"/>
          <w:szCs w:val="32"/>
        </w:rPr>
        <w:t>2021年1月1日起施行</w:t>
      </w:r>
      <w:r>
        <w:rPr>
          <w:rFonts w:hint="eastAsia" w:ascii="仿宋_GB2312" w:eastAsia="仿宋_GB2312"/>
          <w:bCs/>
          <w:color w:val="000000"/>
          <w:sz w:val="32"/>
          <w:shd w:val="clear" w:color="auto" w:fill="FFFFFF"/>
        </w:rPr>
        <w:t>。</w:t>
      </w:r>
    </w:p>
    <w:p>
      <w:pPr>
        <w:spacing w:line="560" w:lineRule="exact"/>
        <w:ind w:firstLine="640" w:firstLineChars="200"/>
        <w:rPr>
          <w:rFonts w:ascii="仿宋_GB2312" w:eastAsia="仿宋_GB2312"/>
          <w:bCs/>
          <w:color w:val="000000"/>
          <w:sz w:val="32"/>
          <w:shd w:val="clear" w:color="auto" w:fill="FFFFFF"/>
        </w:rPr>
      </w:pPr>
      <w:r>
        <w:rPr>
          <w:rFonts w:hint="eastAsia" w:ascii="仿宋_GB2312" w:eastAsia="仿宋_GB2312"/>
          <w:bCs/>
          <w:color w:val="000000"/>
          <w:sz w:val="32"/>
          <w:shd w:val="clear" w:color="auto" w:fill="FFFFFF"/>
        </w:rPr>
        <w:t>《海南省电信设施建设和保护条例》根据本决定作相应修改，重新公布。</w:t>
      </w:r>
    </w:p>
    <w:p>
      <w:pPr>
        <w:spacing w:line="360" w:lineRule="auto"/>
        <w:jc w:val="both"/>
        <w:rPr>
          <w:rFonts w:ascii="仿宋_GB2312" w:hAnsi="仿宋" w:eastAsia="仿宋_GB2312" w:cs="仿宋"/>
          <w:bCs/>
          <w:sz w:val="32"/>
          <w:szCs w:val="32"/>
        </w:rPr>
      </w:pPr>
      <w:bookmarkStart w:id="0" w:name="sub7527630_4"/>
      <w:bookmarkEnd w:id="0"/>
      <w:bookmarkStart w:id="1" w:name="第一章_总_则"/>
      <w:bookmarkEnd w:id="1"/>
      <w:bookmarkStart w:id="2" w:name="4"/>
      <w:bookmarkEnd w:id="2"/>
    </w:p>
    <w:p>
      <w:pPr>
        <w:spacing w:line="360" w:lineRule="auto"/>
        <w:jc w:val="both"/>
        <w:rPr>
          <w:rFonts w:ascii="仿宋_GB2312" w:hAnsi="仿宋" w:eastAsia="仿宋_GB2312" w:cs="仿宋"/>
          <w:bCs/>
          <w:sz w:val="32"/>
          <w:szCs w:val="32"/>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sz w:val="26"/>
        <w:szCs w:val="26"/>
      </w:rPr>
    </w:pPr>
    <w:r>
      <w:rPr>
        <w:rStyle w:val="18"/>
        <w:rFonts w:hint="eastAsia"/>
        <w:sz w:val="26"/>
        <w:szCs w:val="26"/>
      </w:rPr>
      <w:t xml:space="preserve">— </w:t>
    </w:r>
    <w:r>
      <w:rPr>
        <w:sz w:val="26"/>
        <w:szCs w:val="26"/>
      </w:rPr>
      <w:fldChar w:fldCharType="begin"/>
    </w:r>
    <w:r>
      <w:rPr>
        <w:rStyle w:val="18"/>
        <w:sz w:val="26"/>
        <w:szCs w:val="26"/>
      </w:rPr>
      <w:instrText xml:space="preserve">PAGE  </w:instrText>
    </w:r>
    <w:r>
      <w:rPr>
        <w:sz w:val="26"/>
        <w:szCs w:val="26"/>
      </w:rPr>
      <w:fldChar w:fldCharType="separate"/>
    </w:r>
    <w:r>
      <w:rPr>
        <w:rStyle w:val="18"/>
        <w:sz w:val="26"/>
        <w:szCs w:val="26"/>
      </w:rPr>
      <w:t>3</w:t>
    </w:r>
    <w:r>
      <w:rPr>
        <w:sz w:val="26"/>
        <w:szCs w:val="26"/>
      </w:rPr>
      <w:fldChar w:fldCharType="end"/>
    </w:r>
    <w:r>
      <w:rPr>
        <w:rStyle w:val="18"/>
        <w:rFonts w:hint="eastAsia"/>
        <w:sz w:val="26"/>
        <w:szCs w:val="26"/>
      </w:rPr>
      <w:t xml:space="preserve"> —</w:t>
    </w:r>
  </w:p>
  <w:p>
    <w:pPr>
      <w:pStyle w:val="1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bordersDoNotSurroundHeader w:val="true"/>
  <w:bordersDoNotSurroundFooter w:val="true"/>
  <w:doNotTrackMoves/>
  <w:documentProtection w:enforcement="0"/>
  <w:defaultTabStop w:val="420"/>
  <w:drawingGridHorizontalSpacing w:val="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121F"/>
    <w:rsid w:val="00032931"/>
    <w:rsid w:val="00063A3E"/>
    <w:rsid w:val="00063F29"/>
    <w:rsid w:val="000C0B4D"/>
    <w:rsid w:val="00107D69"/>
    <w:rsid w:val="00161EDF"/>
    <w:rsid w:val="00177BD7"/>
    <w:rsid w:val="001947A3"/>
    <w:rsid w:val="001D5512"/>
    <w:rsid w:val="001E4C52"/>
    <w:rsid w:val="00240574"/>
    <w:rsid w:val="00251F2D"/>
    <w:rsid w:val="002B744D"/>
    <w:rsid w:val="002D13F7"/>
    <w:rsid w:val="002E3BBC"/>
    <w:rsid w:val="003118DA"/>
    <w:rsid w:val="00351E93"/>
    <w:rsid w:val="003845CF"/>
    <w:rsid w:val="00402730"/>
    <w:rsid w:val="00446AA7"/>
    <w:rsid w:val="00462590"/>
    <w:rsid w:val="0049700A"/>
    <w:rsid w:val="00506309"/>
    <w:rsid w:val="0057721E"/>
    <w:rsid w:val="005846DC"/>
    <w:rsid w:val="006147CB"/>
    <w:rsid w:val="006358B2"/>
    <w:rsid w:val="006C121F"/>
    <w:rsid w:val="006D03FF"/>
    <w:rsid w:val="007304EB"/>
    <w:rsid w:val="00775B71"/>
    <w:rsid w:val="007F6A2C"/>
    <w:rsid w:val="00831A55"/>
    <w:rsid w:val="008755C2"/>
    <w:rsid w:val="00964A3A"/>
    <w:rsid w:val="00977D5D"/>
    <w:rsid w:val="009D3290"/>
    <w:rsid w:val="009E411D"/>
    <w:rsid w:val="009F1DEF"/>
    <w:rsid w:val="00A13309"/>
    <w:rsid w:val="00AA1453"/>
    <w:rsid w:val="00AF735E"/>
    <w:rsid w:val="00B229CF"/>
    <w:rsid w:val="00B31BB9"/>
    <w:rsid w:val="00B5363B"/>
    <w:rsid w:val="00B54A43"/>
    <w:rsid w:val="00BA52D5"/>
    <w:rsid w:val="00BE7319"/>
    <w:rsid w:val="00C41519"/>
    <w:rsid w:val="00CB0A4A"/>
    <w:rsid w:val="00D222BC"/>
    <w:rsid w:val="00D97118"/>
    <w:rsid w:val="00DA6C9D"/>
    <w:rsid w:val="00DB72A5"/>
    <w:rsid w:val="00DC03FB"/>
    <w:rsid w:val="00DC2962"/>
    <w:rsid w:val="00E15AB0"/>
    <w:rsid w:val="00E510CA"/>
    <w:rsid w:val="00E61357"/>
    <w:rsid w:val="00E70C5B"/>
    <w:rsid w:val="00E94D9B"/>
    <w:rsid w:val="00F71E9D"/>
    <w:rsid w:val="00FE6FC6"/>
    <w:rsid w:val="5E778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qFormat="1" w:uiPriority="0" w:name="footnote text"/>
    <w:lsdException w:qFormat="1" w:uiPriority="99" w:name="annotation text"/>
    <w:lsdException w:qFormat="1" w:unhideWhenUsed="0" w:uiPriority="0" w:semiHidden="0" w:name="header"/>
    <w:lsdException w:qFormat="1"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qFormat="1" w:uiPriority="0" w:name="footnote reference"/>
    <w:lsdException w:qFormat="1" w:uiPriority="99"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32"/>
    <w:qFormat/>
    <w:uiPriority w:val="9"/>
    <w:pPr>
      <w:spacing w:before="100" w:beforeAutospacing="1" w:after="100" w:afterAutospacing="1"/>
      <w:outlineLvl w:val="0"/>
    </w:pPr>
    <w:rPr>
      <w:b/>
      <w:bCs/>
      <w:kern w:val="36"/>
      <w:sz w:val="48"/>
      <w:szCs w:val="48"/>
    </w:rPr>
  </w:style>
  <w:style w:type="paragraph" w:styleId="3">
    <w:name w:val="heading 2"/>
    <w:basedOn w:val="1"/>
    <w:next w:val="1"/>
    <w:link w:val="3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8"/>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40"/>
    <w:semiHidden/>
    <w:qFormat/>
    <w:uiPriority w:val="0"/>
    <w:pPr>
      <w:shd w:val="clear" w:color="auto" w:fill="000080"/>
    </w:pPr>
  </w:style>
  <w:style w:type="paragraph" w:styleId="6">
    <w:name w:val="annotation text"/>
    <w:basedOn w:val="1"/>
    <w:link w:val="42"/>
    <w:semiHidden/>
    <w:unhideWhenUsed/>
    <w:qFormat/>
    <w:uiPriority w:val="99"/>
  </w:style>
  <w:style w:type="paragraph" w:styleId="7">
    <w:name w:val="Body Text"/>
    <w:basedOn w:val="1"/>
    <w:link w:val="34"/>
    <w:unhideWhenUsed/>
    <w:qFormat/>
    <w:uiPriority w:val="0"/>
    <w:rPr>
      <w:rFonts w:eastAsia="仿宋_GB2312"/>
      <w:sz w:val="32"/>
      <w:szCs w:val="32"/>
    </w:rPr>
  </w:style>
  <w:style w:type="paragraph" w:styleId="8">
    <w:name w:val="Body Text Indent 2"/>
    <w:basedOn w:val="1"/>
    <w:link w:val="41"/>
    <w:qFormat/>
    <w:uiPriority w:val="0"/>
    <w:pPr>
      <w:widowControl w:val="0"/>
      <w:spacing w:after="120" w:line="480" w:lineRule="auto"/>
      <w:ind w:left="420" w:leftChars="200"/>
      <w:jc w:val="both"/>
    </w:pPr>
    <w:rPr>
      <w:rFonts w:ascii="Times New Roman" w:hAnsi="Times New Roman" w:cs="Times New Roman"/>
      <w:kern w:val="2"/>
      <w:sz w:val="21"/>
      <w:szCs w:val="20"/>
    </w:rPr>
  </w:style>
  <w:style w:type="paragraph" w:styleId="9">
    <w:name w:val="Balloon Text"/>
    <w:basedOn w:val="1"/>
    <w:link w:val="36"/>
    <w:qFormat/>
    <w:uiPriority w:val="0"/>
    <w:pPr>
      <w:widowControl w:val="0"/>
      <w:jc w:val="both"/>
    </w:pPr>
    <w:rPr>
      <w:rFonts w:ascii="Calibri" w:hAnsi="Calibri"/>
      <w:kern w:val="2"/>
      <w:sz w:val="18"/>
      <w:szCs w:val="18"/>
    </w:rPr>
  </w:style>
  <w:style w:type="paragraph" w:styleId="10">
    <w:name w:val="footer"/>
    <w:basedOn w:val="1"/>
    <w:link w:val="28"/>
    <w:qFormat/>
    <w:uiPriority w:val="0"/>
    <w:pPr>
      <w:tabs>
        <w:tab w:val="center" w:pos="4153"/>
        <w:tab w:val="right" w:pos="8306"/>
      </w:tabs>
      <w:snapToGrid w:val="0"/>
    </w:pPr>
    <w:rPr>
      <w:rFonts w:ascii="Calibri" w:hAnsi="Calibri" w:cs="黑体"/>
      <w:kern w:val="2"/>
      <w:sz w:val="18"/>
      <w:szCs w:val="22"/>
    </w:rPr>
  </w:style>
  <w:style w:type="paragraph" w:styleId="11">
    <w:name w:val="header"/>
    <w:basedOn w:val="1"/>
    <w:link w:val="2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Calibri" w:hAnsi="Calibri" w:cs="黑体"/>
      <w:kern w:val="2"/>
      <w:sz w:val="18"/>
      <w:szCs w:val="22"/>
    </w:rPr>
  </w:style>
  <w:style w:type="paragraph" w:styleId="12">
    <w:name w:val="footnote text"/>
    <w:basedOn w:val="1"/>
    <w:link w:val="33"/>
    <w:semiHidden/>
    <w:unhideWhenUsed/>
    <w:qFormat/>
    <w:uiPriority w:val="0"/>
    <w:pPr>
      <w:widowControl w:val="0"/>
      <w:snapToGrid w:val="0"/>
      <w:spacing w:line="360" w:lineRule="auto"/>
    </w:pPr>
    <w:rPr>
      <w:rFonts w:ascii="Calibri" w:hAnsi="Calibri" w:eastAsia="仿宋_GB2312" w:cs="黑体"/>
      <w:kern w:val="2"/>
      <w:sz w:val="18"/>
      <w:szCs w:val="18"/>
    </w:rPr>
  </w:style>
  <w:style w:type="paragraph" w:styleId="13">
    <w:name w:val="Normal (Web)"/>
    <w:basedOn w:val="1"/>
    <w:unhideWhenUsed/>
    <w:qFormat/>
    <w:uiPriority w:val="99"/>
    <w:pPr>
      <w:spacing w:before="100" w:beforeAutospacing="1" w:after="100" w:afterAutospacing="1"/>
    </w:pPr>
  </w:style>
  <w:style w:type="paragraph" w:styleId="14">
    <w:name w:val="annotation subject"/>
    <w:basedOn w:val="6"/>
    <w:next w:val="6"/>
    <w:link w:val="43"/>
    <w:semiHidden/>
    <w:unhideWhenUsed/>
    <w:qFormat/>
    <w:uiPriority w:val="99"/>
    <w:rPr>
      <w:b/>
      <w:bCs/>
    </w:rPr>
  </w:style>
  <w:style w:type="character" w:styleId="17">
    <w:name w:val="Strong"/>
    <w:qFormat/>
    <w:uiPriority w:val="22"/>
    <w:rPr>
      <w:b/>
      <w:bCs/>
    </w:rPr>
  </w:style>
  <w:style w:type="character" w:styleId="18">
    <w:name w:val="page number"/>
    <w:basedOn w:val="16"/>
    <w:unhideWhenUsed/>
    <w:qFormat/>
    <w:uiPriority w:val="0"/>
  </w:style>
  <w:style w:type="character" w:styleId="19">
    <w:name w:val="Emphasis"/>
    <w:qFormat/>
    <w:uiPriority w:val="20"/>
    <w:rPr>
      <w:i/>
      <w:iCs/>
    </w:rPr>
  </w:style>
  <w:style w:type="character" w:styleId="20">
    <w:name w:val="Hyperlink"/>
    <w:qFormat/>
    <w:uiPriority w:val="0"/>
    <w:rPr>
      <w:rFonts w:cs="Times New Roman"/>
      <w:color w:val="0000FF"/>
      <w:u w:val="single"/>
    </w:rPr>
  </w:style>
  <w:style w:type="character" w:styleId="21">
    <w:name w:val="annotation reference"/>
    <w:semiHidden/>
    <w:unhideWhenUsed/>
    <w:qFormat/>
    <w:uiPriority w:val="99"/>
    <w:rPr>
      <w:sz w:val="21"/>
      <w:szCs w:val="21"/>
    </w:rPr>
  </w:style>
  <w:style w:type="character" w:styleId="22">
    <w:name w:val="footnote reference"/>
    <w:semiHidden/>
    <w:unhideWhenUsed/>
    <w:qFormat/>
    <w:uiPriority w:val="0"/>
    <w:rPr>
      <w:vertAlign w:val="superscript"/>
    </w:rPr>
  </w:style>
  <w:style w:type="paragraph" w:customStyle="1" w:styleId="23">
    <w:name w:val="列出段落1"/>
    <w:basedOn w:val="1"/>
    <w:qFormat/>
    <w:uiPriority w:val="99"/>
    <w:pPr>
      <w:ind w:firstLine="420" w:firstLineChars="200"/>
    </w:pPr>
  </w:style>
  <w:style w:type="paragraph" w:customStyle="1" w:styleId="24">
    <w:name w:val="Char"/>
    <w:basedOn w:val="1"/>
    <w:qFormat/>
    <w:uiPriority w:val="0"/>
    <w:pPr>
      <w:spacing w:after="160" w:line="240" w:lineRule="exact"/>
    </w:pPr>
    <w:rPr>
      <w:rFonts w:ascii="Times New Roman" w:hAnsi="Times New Roman" w:cs="Times New Roman"/>
      <w:kern w:val="2"/>
      <w:sz w:val="21"/>
    </w:rPr>
  </w:style>
  <w:style w:type="paragraph" w:customStyle="1" w:styleId="25">
    <w:name w:val="修订1"/>
    <w:hidden/>
    <w:semiHidden/>
    <w:qFormat/>
    <w:uiPriority w:val="99"/>
    <w:rPr>
      <w:rFonts w:ascii="Calibri" w:hAnsi="Calibri" w:eastAsia="宋体" w:cs="宋体"/>
      <w:kern w:val="2"/>
      <w:sz w:val="21"/>
      <w:szCs w:val="22"/>
      <w:lang w:val="en-US" w:eastAsia="zh-CN" w:bidi="ar-SA"/>
    </w:rPr>
  </w:style>
  <w:style w:type="paragraph" w:customStyle="1" w:styleId="26">
    <w:name w:val="Char Char Char Char"/>
    <w:basedOn w:val="5"/>
    <w:qFormat/>
    <w:uiPriority w:val="0"/>
    <w:pPr>
      <w:adjustRightInd w:val="0"/>
      <w:snapToGrid w:val="0"/>
      <w:spacing w:line="360" w:lineRule="auto"/>
    </w:pPr>
  </w:style>
  <w:style w:type="paragraph" w:customStyle="1" w:styleId="27">
    <w:name w:val="List Paragraph1"/>
    <w:basedOn w:val="1"/>
    <w:qFormat/>
    <w:uiPriority w:val="0"/>
    <w:pPr>
      <w:spacing w:line="360" w:lineRule="auto"/>
      <w:ind w:firstLine="420" w:firstLineChars="200"/>
    </w:pPr>
    <w:rPr>
      <w:rFonts w:ascii="Cambria" w:hAnsi="Cambria"/>
      <w:sz w:val="28"/>
    </w:rPr>
  </w:style>
  <w:style w:type="character" w:customStyle="1" w:styleId="28">
    <w:name w:val="页脚 Char"/>
    <w:link w:val="10"/>
    <w:qFormat/>
    <w:uiPriority w:val="0"/>
    <w:rPr>
      <w:rFonts w:eastAsia="宋体"/>
      <w:sz w:val="18"/>
    </w:rPr>
  </w:style>
  <w:style w:type="character" w:customStyle="1" w:styleId="29">
    <w:name w:val="页眉 Char"/>
    <w:link w:val="11"/>
    <w:qFormat/>
    <w:locked/>
    <w:uiPriority w:val="0"/>
    <w:rPr>
      <w:rFonts w:eastAsia="宋体"/>
      <w:sz w:val="18"/>
    </w:rPr>
  </w:style>
  <w:style w:type="character" w:customStyle="1" w:styleId="30">
    <w:name w:val="页脚 Char1"/>
    <w:semiHidden/>
    <w:qFormat/>
    <w:uiPriority w:val="99"/>
    <w:rPr>
      <w:rFonts w:ascii="宋体" w:hAnsi="宋体" w:eastAsia="宋体" w:cs="宋体"/>
      <w:kern w:val="0"/>
      <w:sz w:val="18"/>
      <w:szCs w:val="18"/>
    </w:rPr>
  </w:style>
  <w:style w:type="character" w:customStyle="1" w:styleId="31">
    <w:name w:val="页眉 Char1"/>
    <w:semiHidden/>
    <w:qFormat/>
    <w:uiPriority w:val="99"/>
    <w:rPr>
      <w:rFonts w:ascii="宋体" w:hAnsi="宋体" w:eastAsia="宋体" w:cs="宋体"/>
      <w:kern w:val="0"/>
      <w:sz w:val="18"/>
      <w:szCs w:val="18"/>
    </w:rPr>
  </w:style>
  <w:style w:type="character" w:customStyle="1" w:styleId="32">
    <w:name w:val="标题 1 Char"/>
    <w:link w:val="2"/>
    <w:qFormat/>
    <w:uiPriority w:val="9"/>
    <w:rPr>
      <w:rFonts w:ascii="宋体" w:hAnsi="宋体" w:eastAsia="宋体" w:cs="宋体"/>
      <w:b/>
      <w:bCs/>
      <w:kern w:val="36"/>
      <w:sz w:val="48"/>
      <w:szCs w:val="48"/>
    </w:rPr>
  </w:style>
  <w:style w:type="character" w:customStyle="1" w:styleId="33">
    <w:name w:val="脚注文本 Char"/>
    <w:link w:val="12"/>
    <w:qFormat/>
    <w:uiPriority w:val="0"/>
    <w:rPr>
      <w:rFonts w:eastAsia="仿宋_GB2312"/>
      <w:sz w:val="18"/>
      <w:szCs w:val="18"/>
    </w:rPr>
  </w:style>
  <w:style w:type="character" w:customStyle="1" w:styleId="34">
    <w:name w:val="正文文本 Char"/>
    <w:link w:val="7"/>
    <w:qFormat/>
    <w:uiPriority w:val="0"/>
    <w:rPr>
      <w:rFonts w:ascii="宋体" w:hAnsi="宋体" w:eastAsia="仿宋_GB2312" w:cs="宋体"/>
      <w:kern w:val="0"/>
      <w:sz w:val="32"/>
      <w:szCs w:val="32"/>
    </w:rPr>
  </w:style>
  <w:style w:type="character" w:customStyle="1" w:styleId="35">
    <w:name w:val="fontstyle01"/>
    <w:qFormat/>
    <w:uiPriority w:val="0"/>
    <w:rPr>
      <w:rFonts w:hint="eastAsia" w:ascii="仿宋_GB2312" w:eastAsia="仿宋_GB2312"/>
      <w:color w:val="000000"/>
      <w:sz w:val="32"/>
      <w:szCs w:val="32"/>
    </w:rPr>
  </w:style>
  <w:style w:type="character" w:customStyle="1" w:styleId="36">
    <w:name w:val="批注框文本 Char"/>
    <w:link w:val="9"/>
    <w:qFormat/>
    <w:uiPriority w:val="0"/>
    <w:rPr>
      <w:rFonts w:ascii="Calibri" w:hAnsi="Calibri" w:eastAsia="宋体" w:cs="宋体"/>
      <w:sz w:val="18"/>
      <w:szCs w:val="18"/>
    </w:rPr>
  </w:style>
  <w:style w:type="character" w:customStyle="1" w:styleId="37">
    <w:name w:val="标题 2 Char"/>
    <w:link w:val="3"/>
    <w:qFormat/>
    <w:uiPriority w:val="0"/>
    <w:rPr>
      <w:rFonts w:ascii="Arial" w:hAnsi="Arial" w:eastAsia="黑体" w:cs="宋体"/>
      <w:b/>
      <w:bCs/>
      <w:kern w:val="0"/>
      <w:sz w:val="32"/>
      <w:szCs w:val="32"/>
    </w:rPr>
  </w:style>
  <w:style w:type="character" w:customStyle="1" w:styleId="38">
    <w:name w:val="标题 3 Char"/>
    <w:link w:val="4"/>
    <w:qFormat/>
    <w:uiPriority w:val="0"/>
    <w:rPr>
      <w:rFonts w:ascii="宋体" w:hAnsi="宋体" w:eastAsia="宋体" w:cs="宋体"/>
      <w:b/>
      <w:bCs/>
      <w:kern w:val="0"/>
      <w:sz w:val="32"/>
      <w:szCs w:val="32"/>
    </w:rPr>
  </w:style>
  <w:style w:type="character" w:customStyle="1" w:styleId="39">
    <w:name w:val="Footer Char"/>
    <w:qFormat/>
    <w:locked/>
    <w:uiPriority w:val="0"/>
    <w:rPr>
      <w:rFonts w:cs="Times New Roman"/>
      <w:sz w:val="18"/>
      <w:szCs w:val="18"/>
    </w:rPr>
  </w:style>
  <w:style w:type="character" w:customStyle="1" w:styleId="40">
    <w:name w:val="文档结构图 Char"/>
    <w:link w:val="5"/>
    <w:semiHidden/>
    <w:qFormat/>
    <w:uiPriority w:val="0"/>
    <w:rPr>
      <w:rFonts w:ascii="宋体" w:hAnsi="宋体" w:eastAsia="宋体" w:cs="宋体"/>
      <w:kern w:val="0"/>
      <w:sz w:val="24"/>
      <w:szCs w:val="24"/>
      <w:shd w:val="clear" w:color="auto" w:fill="000080"/>
    </w:rPr>
  </w:style>
  <w:style w:type="character" w:customStyle="1" w:styleId="41">
    <w:name w:val="正文文本缩进 2 Char"/>
    <w:link w:val="8"/>
    <w:qFormat/>
    <w:uiPriority w:val="0"/>
    <w:rPr>
      <w:rFonts w:ascii="Times New Roman" w:hAnsi="Times New Roman" w:eastAsia="宋体" w:cs="Times New Roman"/>
      <w:szCs w:val="20"/>
    </w:rPr>
  </w:style>
  <w:style w:type="character" w:customStyle="1" w:styleId="42">
    <w:name w:val="批注文字 Char"/>
    <w:link w:val="6"/>
    <w:semiHidden/>
    <w:qFormat/>
    <w:uiPriority w:val="99"/>
    <w:rPr>
      <w:rFonts w:ascii="宋体" w:hAnsi="宋体" w:cs="宋体"/>
      <w:sz w:val="24"/>
      <w:szCs w:val="24"/>
    </w:rPr>
  </w:style>
  <w:style w:type="character" w:customStyle="1" w:styleId="43">
    <w:name w:val="批注主题 Char"/>
    <w:link w:val="14"/>
    <w:semiHidden/>
    <w:qFormat/>
    <w:uiPriority w:val="99"/>
    <w:rPr>
      <w:rFonts w:ascii="宋体" w:hAnsi="宋体" w:cs="宋体"/>
      <w:b/>
      <w:bCs/>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217</Words>
  <Characters>1240</Characters>
  <Lines>10</Lines>
  <Paragraphs>2</Paragraphs>
  <TotalTime>239</TotalTime>
  <ScaleCrop>false</ScaleCrop>
  <LinksUpToDate>false</LinksUpToDate>
  <CharactersWithSpaces>1455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2020-10-22T19:36:00Z</dcterms:created>
  <dc:creator>Windows 用户</dc:creator>
  <cp:lastModifiedBy>uos</cp:lastModifiedBy>
  <cp:lastPrinted>2020-12-01T21:10:00Z</cp:lastPrinted>
  <dcterms:modified xsi:type="dcterms:W3CDTF">2022-07-04T17:53:08Z</dcterms:modified>
  <dc:title>省政府常务会议审议文件</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