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s="Arial"/>
          <w:kern w:val="0"/>
          <w:szCs w:val="32"/>
        </w:rPr>
      </w:pPr>
      <w:bookmarkStart w:id="1" w:name="_GoBack"/>
      <w:bookmarkEnd w:id="1"/>
    </w:p>
    <w:p>
      <w:pPr>
        <w:rPr>
          <w:rFonts w:hint="eastAsia" w:ascii="宋体" w:hAnsi="宋体" w:cs="Arial"/>
          <w:kern w:val="0"/>
          <w:szCs w:val="32"/>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海南省人民代表大会常务委员会</w:t>
      </w: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关于在海南经济特区下放部分</w:t>
      </w:r>
    </w:p>
    <w:p>
      <w:pPr>
        <w:jc w:val="center"/>
        <w:rPr>
          <w:rFonts w:hint="eastAsia" w:ascii="宋体" w:hAnsi="宋体" w:eastAsia="宋体" w:cs="Arial"/>
          <w:bCs/>
          <w:sz w:val="44"/>
          <w:szCs w:val="44"/>
        </w:rPr>
      </w:pPr>
      <w:r>
        <w:rPr>
          <w:rFonts w:hint="eastAsia" w:ascii="宋体" w:hAnsi="宋体" w:eastAsia="宋体" w:cs="Arial"/>
          <w:bCs/>
          <w:sz w:val="44"/>
          <w:szCs w:val="44"/>
          <w:lang w:eastAsia="zh-CN"/>
        </w:rPr>
        <w:t>行政许可事项的决定</w:t>
      </w:r>
    </w:p>
    <w:p>
      <w:pPr>
        <w:ind w:firstLine="640" w:firstLineChars="200"/>
        <w:rPr>
          <w:rFonts w:hint="eastAsia" w:ascii="宋体" w:hAnsi="宋体" w:cs="Arial"/>
          <w:szCs w:val="32"/>
        </w:rPr>
      </w:pPr>
    </w:p>
    <w:p>
      <w:pPr>
        <w:ind w:left="800" w:leftChars="200" w:right="537" w:rightChars="168" w:hanging="160" w:hangingChars="50"/>
        <w:rPr>
          <w:rFonts w:hint="eastAsia" w:ascii="仿宋_GB2312" w:hAnsi="Arial" w:cs="Arial"/>
          <w:szCs w:val="32"/>
        </w:rPr>
      </w:pPr>
      <w:r>
        <w:rPr>
          <w:rFonts w:hint="eastAsia" w:ascii="楷体_GB2312" w:hAnsi="Arial" w:eastAsia="楷体_GB2312" w:cs="Arial"/>
          <w:szCs w:val="32"/>
        </w:rPr>
        <w:t>（</w:t>
      </w:r>
      <w:r>
        <w:rPr>
          <w:rFonts w:hint="eastAsia" w:ascii="楷体_GB2312" w:eastAsia="楷体_GB2312"/>
          <w:szCs w:val="32"/>
        </w:rPr>
        <w:t>201</w:t>
      </w:r>
      <w:r>
        <w:rPr>
          <w:rFonts w:hint="eastAsia" w:ascii="楷体_GB2312" w:eastAsia="楷体_GB2312"/>
          <w:szCs w:val="32"/>
          <w:lang w:val="en-US" w:eastAsia="zh-CN"/>
        </w:rPr>
        <w:t>7</w:t>
      </w:r>
      <w:r>
        <w:rPr>
          <w:rFonts w:hint="eastAsia" w:ascii="楷体_GB2312" w:eastAsia="楷体_GB2312"/>
          <w:szCs w:val="32"/>
        </w:rPr>
        <w:t>年</w:t>
      </w:r>
      <w:r>
        <w:rPr>
          <w:rFonts w:hint="eastAsia" w:ascii="楷体_GB2312" w:eastAsia="楷体_GB2312"/>
          <w:szCs w:val="32"/>
          <w:lang w:val="en-US" w:eastAsia="zh-CN"/>
        </w:rPr>
        <w:t>3</w:t>
      </w:r>
      <w:r>
        <w:rPr>
          <w:rFonts w:hint="eastAsia" w:ascii="楷体_GB2312" w:eastAsia="楷体_GB2312"/>
          <w:szCs w:val="32"/>
        </w:rPr>
        <w:t>月2</w:t>
      </w:r>
      <w:r>
        <w:rPr>
          <w:rFonts w:hint="eastAsia" w:ascii="楷体_GB2312" w:eastAsia="楷体_GB2312"/>
          <w:szCs w:val="32"/>
          <w:lang w:val="en-US" w:eastAsia="zh-CN"/>
        </w:rPr>
        <w:t>9</w:t>
      </w:r>
      <w:r>
        <w:rPr>
          <w:rFonts w:hint="eastAsia" w:ascii="楷体_GB2312" w:hAnsi="Arial" w:eastAsia="楷体_GB2312" w:cs="Arial"/>
          <w:szCs w:val="32"/>
        </w:rPr>
        <w:t>日</w:t>
      </w:r>
      <w:r>
        <w:rPr>
          <w:rFonts w:hint="eastAsia" w:ascii="楷体_GB2312" w:hAnsi="Arial" w:eastAsia="楷体_GB2312" w:cs="Arial"/>
          <w:szCs w:val="32"/>
          <w:lang w:eastAsia="zh-CN"/>
        </w:rPr>
        <w:t>海南</w:t>
      </w:r>
      <w:r>
        <w:rPr>
          <w:rFonts w:hint="eastAsia" w:ascii="楷体_GB2312" w:hAnsi="Arial" w:eastAsia="楷体_GB2312" w:cs="Arial"/>
          <w:szCs w:val="32"/>
        </w:rPr>
        <w:t>省第</w:t>
      </w:r>
      <w:r>
        <w:rPr>
          <w:rFonts w:hint="eastAsia" w:ascii="楷体_GB2312" w:hAnsi="Arial" w:eastAsia="楷体_GB2312" w:cs="Arial"/>
          <w:szCs w:val="32"/>
          <w:lang w:eastAsia="zh-CN"/>
        </w:rPr>
        <w:t>五</w:t>
      </w:r>
      <w:r>
        <w:rPr>
          <w:rFonts w:hint="eastAsia" w:ascii="楷体_GB2312" w:hAnsi="Arial" w:eastAsia="楷体_GB2312" w:cs="Arial"/>
          <w:szCs w:val="32"/>
        </w:rPr>
        <w:t>届人民代表大会常务委员会第</w:t>
      </w:r>
      <w:r>
        <w:rPr>
          <w:rFonts w:hint="eastAsia" w:ascii="楷体_GB2312" w:hAnsi="Arial" w:eastAsia="楷体_GB2312" w:cs="Arial"/>
          <w:szCs w:val="32"/>
          <w:lang w:eastAsia="zh-CN"/>
        </w:rPr>
        <w:t>二</w:t>
      </w:r>
      <w:r>
        <w:rPr>
          <w:rFonts w:hint="eastAsia" w:ascii="楷体_GB2312" w:hAnsi="Arial" w:eastAsia="楷体_GB2312" w:cs="Arial"/>
          <w:szCs w:val="32"/>
        </w:rPr>
        <w:t>十</w:t>
      </w:r>
      <w:r>
        <w:rPr>
          <w:rFonts w:hint="eastAsia" w:ascii="楷体_GB2312" w:hAnsi="Arial" w:eastAsia="楷体_GB2312" w:cs="Arial"/>
          <w:szCs w:val="32"/>
          <w:lang w:eastAsia="zh-CN"/>
        </w:rPr>
        <w:t>七</w:t>
      </w:r>
      <w:r>
        <w:rPr>
          <w:rFonts w:hint="eastAsia" w:ascii="楷体_GB2312" w:hAnsi="Arial" w:eastAsia="楷体_GB2312" w:cs="Arial"/>
          <w:szCs w:val="32"/>
        </w:rPr>
        <w:t>次会议通过）</w:t>
      </w:r>
    </w:p>
    <w:p>
      <w:pPr>
        <w:rPr>
          <w:rFonts w:hint="eastAsia" w:ascii="宋体" w:hAnsi="宋体" w:cs="Arial"/>
          <w:szCs w:val="32"/>
        </w:rPr>
      </w:pPr>
    </w:p>
    <w:p>
      <w:pPr>
        <w:widowControl/>
        <w:spacing w:line="300" w:lineRule="atLeast"/>
        <w:ind w:firstLine="630"/>
        <w:rPr>
          <w:rFonts w:hint="eastAsia" w:ascii="仿宋_GB2312" w:hAnsi="Arial" w:cs="Arial"/>
          <w:kern w:val="0"/>
          <w:szCs w:val="32"/>
        </w:rPr>
      </w:pPr>
      <w:bookmarkStart w:id="0" w:name="#go1"/>
      <w:r>
        <w:rPr>
          <w:rFonts w:hint="eastAsia" w:ascii="仿宋_GB2312" w:hAnsi="Arial" w:cs="Arial"/>
          <w:kern w:val="0"/>
          <w:szCs w:val="32"/>
        </w:rPr>
        <w:t>为推进简政放权，促进政府职能转变，根据国家有关法律、行政法规的规定，海南省第五届人民代表大会常务委员会第二十七次会议决定：在海南经济特区将6大项2子项省级行政许可事项下放市、县、自治县人民政府有关部门实施（目录附后）。对下放的行政许可事项，省直有关单位要及时办理手续，加强业务培训指导，做好对接工作；承接下放行政许可事项的市、县、自治县人民政府及其有关部门，要周密组织，做好各方面的承接和安排，做到规范有序、无缝衔接。</w:t>
      </w:r>
      <w:bookmarkEnd w:id="0"/>
    </w:p>
    <w:p>
      <w:pPr>
        <w:widowControl/>
        <w:spacing w:line="300" w:lineRule="atLeast"/>
        <w:ind w:firstLine="630"/>
        <w:rPr>
          <w:rFonts w:hint="eastAsia" w:ascii="仿宋_GB2312" w:hAnsi="Arial" w:cs="Arial"/>
          <w:kern w:val="0"/>
          <w:szCs w:val="32"/>
        </w:rPr>
      </w:pPr>
      <w:r>
        <w:rPr>
          <w:rFonts w:hint="eastAsia" w:ascii="仿宋_GB2312" w:hAnsi="Arial" w:cs="Arial"/>
          <w:kern w:val="0"/>
          <w:szCs w:val="32"/>
        </w:rPr>
        <w:t>本决定自公布之日起施行。</w:t>
      </w:r>
    </w:p>
    <w:p>
      <w:pPr>
        <w:widowControl/>
        <w:spacing w:line="300" w:lineRule="atLeast"/>
        <w:ind w:firstLine="630"/>
        <w:rPr>
          <w:rFonts w:hint="eastAsia" w:ascii="仿宋_GB2312" w:hAnsi="Arial" w:cs="Arial"/>
          <w:kern w:val="0"/>
          <w:szCs w:val="32"/>
        </w:rPr>
        <w:sectPr>
          <w:footerReference r:id="rId3" w:type="default"/>
          <w:footerReference r:id="rId4" w:type="even"/>
          <w:pgSz w:w="11906" w:h="16838"/>
          <w:pgMar w:top="1440" w:right="1466" w:bottom="1440" w:left="1800" w:header="851" w:footer="992" w:gutter="0"/>
          <w:cols w:space="720" w:num="1"/>
          <w:docGrid w:type="lines" w:linePitch="312" w:charSpace="0"/>
        </w:sectPr>
      </w:pPr>
    </w:p>
    <w:tbl>
      <w:tblPr>
        <w:tblStyle w:val="10"/>
        <w:tblW w:w="14954" w:type="dxa"/>
        <w:tblInd w:w="94" w:type="dxa"/>
        <w:tblLayout w:type="fixed"/>
        <w:tblCellMar>
          <w:top w:w="0" w:type="dxa"/>
          <w:left w:w="108" w:type="dxa"/>
          <w:bottom w:w="0" w:type="dxa"/>
          <w:right w:w="108" w:type="dxa"/>
        </w:tblCellMar>
      </w:tblPr>
      <w:tblGrid>
        <w:gridCol w:w="536"/>
        <w:gridCol w:w="1578"/>
        <w:gridCol w:w="7114"/>
        <w:gridCol w:w="1843"/>
        <w:gridCol w:w="2551"/>
        <w:gridCol w:w="1332"/>
      </w:tblGrid>
      <w:tr>
        <w:tblPrEx>
          <w:tblLayout w:type="fixed"/>
          <w:tblCellMar>
            <w:top w:w="0" w:type="dxa"/>
            <w:left w:w="108" w:type="dxa"/>
            <w:bottom w:w="0" w:type="dxa"/>
            <w:right w:w="108" w:type="dxa"/>
          </w:tblCellMar>
        </w:tblPrEx>
        <w:trPr>
          <w:trHeight w:val="450" w:hRule="atLeast"/>
        </w:trPr>
        <w:tc>
          <w:tcPr>
            <w:tcW w:w="14954" w:type="dxa"/>
            <w:gridSpan w:val="6"/>
            <w:tcBorders>
              <w:top w:val="nil"/>
              <w:left w:val="nil"/>
              <w:bottom w:val="single" w:color="auto" w:sz="4" w:space="0"/>
              <w:right w:val="nil"/>
            </w:tcBorders>
            <w:vAlign w:val="center"/>
          </w:tcPr>
          <w:p>
            <w:pPr>
              <w:widowControl/>
              <w:jc w:val="center"/>
              <w:rPr>
                <w:rFonts w:hint="eastAsia" w:ascii="方正小标宋_GBK" w:hAnsi="宋体" w:eastAsia="方正小标宋_GBK" w:cs="宋体"/>
                <w:kern w:val="0"/>
                <w:sz w:val="36"/>
                <w:szCs w:val="36"/>
              </w:rPr>
            </w:pPr>
            <w:r>
              <w:rPr>
                <w:rFonts w:hint="eastAsia" w:ascii="方正小标宋_GBK" w:hAnsi="宋体" w:eastAsia="方正小标宋_GBK" w:cs="宋体"/>
                <w:kern w:val="0"/>
                <w:sz w:val="36"/>
                <w:szCs w:val="36"/>
              </w:rPr>
              <w:t>下放行政许可事项目录（</w:t>
            </w:r>
            <w:r>
              <w:rPr>
                <w:rFonts w:ascii="方正小标宋_GBK" w:hAnsi="宋体" w:eastAsia="方正小标宋_GBK" w:cs="宋体"/>
                <w:kern w:val="0"/>
                <w:sz w:val="36"/>
                <w:szCs w:val="36"/>
              </w:rPr>
              <w:t>6</w:t>
            </w:r>
            <w:r>
              <w:rPr>
                <w:rFonts w:hint="eastAsia" w:ascii="方正小标宋_GBK" w:hAnsi="宋体" w:eastAsia="方正小标宋_GBK" w:cs="宋体"/>
                <w:kern w:val="0"/>
                <w:sz w:val="36"/>
                <w:szCs w:val="36"/>
              </w:rPr>
              <w:t>大项</w:t>
            </w:r>
            <w:r>
              <w:rPr>
                <w:rFonts w:ascii="方正小标宋_GBK" w:hAnsi="宋体" w:eastAsia="方正小标宋_GBK" w:cs="宋体"/>
                <w:kern w:val="0"/>
                <w:sz w:val="36"/>
                <w:szCs w:val="36"/>
              </w:rPr>
              <w:t>2</w:t>
            </w:r>
            <w:r>
              <w:rPr>
                <w:rFonts w:hint="eastAsia" w:ascii="方正小标宋_GBK" w:hAnsi="宋体" w:eastAsia="方正小标宋_GBK" w:cs="宋体"/>
                <w:kern w:val="0"/>
                <w:sz w:val="36"/>
                <w:szCs w:val="36"/>
              </w:rPr>
              <w:t>子项）</w:t>
            </w:r>
          </w:p>
        </w:tc>
      </w:tr>
      <w:tr>
        <w:tblPrEx>
          <w:tblLayout w:type="fixed"/>
          <w:tblCellMar>
            <w:top w:w="0" w:type="dxa"/>
            <w:left w:w="108" w:type="dxa"/>
            <w:bottom w:w="0" w:type="dxa"/>
            <w:right w:w="108" w:type="dxa"/>
          </w:tblCellMar>
        </w:tblPrEx>
        <w:trPr>
          <w:trHeight w:val="810" w:hRule="atLeast"/>
        </w:trPr>
        <w:tc>
          <w:tcPr>
            <w:tcW w:w="536" w:type="dxa"/>
            <w:tcBorders>
              <w:top w:val="nil"/>
              <w:left w:val="single" w:color="auto" w:sz="4" w:space="0"/>
              <w:bottom w:val="single" w:color="auto" w:sz="4" w:space="0"/>
              <w:right w:val="single" w:color="auto"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序号</w:t>
            </w:r>
          </w:p>
        </w:tc>
        <w:tc>
          <w:tcPr>
            <w:tcW w:w="1578" w:type="dxa"/>
            <w:tcBorders>
              <w:top w:val="nil"/>
              <w:left w:val="nil"/>
              <w:bottom w:val="single" w:color="auto" w:sz="4" w:space="0"/>
              <w:right w:val="single" w:color="auto"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项目名称</w:t>
            </w:r>
          </w:p>
        </w:tc>
        <w:tc>
          <w:tcPr>
            <w:tcW w:w="7114" w:type="dxa"/>
            <w:tcBorders>
              <w:top w:val="nil"/>
              <w:left w:val="nil"/>
              <w:bottom w:val="single" w:color="auto" w:sz="4" w:space="0"/>
              <w:right w:val="single" w:color="auto"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设立依据</w:t>
            </w:r>
          </w:p>
        </w:tc>
        <w:tc>
          <w:tcPr>
            <w:tcW w:w="1843"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原实施机关</w:t>
            </w:r>
          </w:p>
        </w:tc>
        <w:tc>
          <w:tcPr>
            <w:tcW w:w="2551"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下放后实施机关</w:t>
            </w:r>
          </w:p>
        </w:tc>
        <w:tc>
          <w:tcPr>
            <w:tcW w:w="1332" w:type="dxa"/>
            <w:tcBorders>
              <w:top w:val="nil"/>
              <w:left w:val="nil"/>
              <w:bottom w:val="single" w:color="auto" w:sz="4" w:space="0"/>
              <w:right w:val="single" w:color="auto"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备注</w:t>
            </w:r>
          </w:p>
        </w:tc>
      </w:tr>
      <w:tr>
        <w:tblPrEx>
          <w:tblLayout w:type="fixed"/>
          <w:tblCellMar>
            <w:top w:w="0" w:type="dxa"/>
            <w:left w:w="108" w:type="dxa"/>
            <w:bottom w:w="0" w:type="dxa"/>
            <w:right w:w="108" w:type="dxa"/>
          </w:tblCellMar>
        </w:tblPrEx>
        <w:trPr>
          <w:trHeight w:val="2277"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kern w:val="0"/>
                <w:sz w:val="24"/>
              </w:rPr>
            </w:pPr>
            <w:r>
              <w:rPr>
                <w:rFonts w:hint="eastAsia" w:ascii="仿宋" w:hAnsi="仿宋" w:eastAsia="仿宋" w:cs="宋体"/>
                <w:kern w:val="0"/>
                <w:sz w:val="24"/>
              </w:rPr>
              <w:t>1</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kern w:val="0"/>
                <w:sz w:val="24"/>
              </w:rPr>
            </w:pPr>
            <w:r>
              <w:rPr>
                <w:rFonts w:hint="eastAsia" w:ascii="仿宋" w:hAnsi="仿宋" w:eastAsia="仿宋" w:cs="宋体"/>
                <w:kern w:val="0"/>
                <w:sz w:val="24"/>
              </w:rPr>
              <w:t>民办普通高中以捐赠者姓名或者名称作为校名的审批</w:t>
            </w:r>
          </w:p>
        </w:tc>
        <w:tc>
          <w:tcPr>
            <w:tcW w:w="7114" w:type="dxa"/>
            <w:tcBorders>
              <w:top w:val="single" w:color="auto" w:sz="4" w:space="0"/>
              <w:left w:val="single" w:color="auto" w:sz="4" w:space="0"/>
              <w:bottom w:val="single" w:color="auto" w:sz="4" w:space="0"/>
              <w:right w:val="single" w:color="auto" w:sz="4" w:space="0"/>
            </w:tcBorders>
            <w:vAlign w:val="center"/>
          </w:tcPr>
          <w:p>
            <w:pPr>
              <w:widowControl/>
              <w:spacing w:line="280" w:lineRule="exact"/>
              <w:ind w:firstLine="480" w:firstLineChars="200"/>
              <w:jc w:val="left"/>
              <w:rPr>
                <w:rFonts w:ascii="仿宋" w:hAnsi="仿宋" w:eastAsia="仿宋" w:cs="宋体"/>
                <w:kern w:val="0"/>
                <w:sz w:val="24"/>
              </w:rPr>
            </w:pPr>
            <w:r>
              <w:rPr>
                <w:rFonts w:hint="eastAsia" w:ascii="仿宋" w:hAnsi="仿宋" w:eastAsia="仿宋" w:cs="宋体"/>
                <w:kern w:val="0"/>
                <w:sz w:val="24"/>
              </w:rPr>
              <w:t>《中华人民共和国民办教育促进法实施条例》第三十九条第二款：“民办学校可以依法以捐赠者的姓名、名称命名学校的校舍或者其他教育教学设施、生活设施。捐赠者对民办学校发展做出特殊贡献的，实施高等学历教育的民办学校经国务院教育行政部门按照国家规定的条件批准，其他民办学校经省、自治区、直辖市人民政府教育行政部门或者劳动和社会保障行政部门按照国家规定的条件批准，可以以捐赠者的姓名或者名称作为学校校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kern w:val="0"/>
                <w:sz w:val="24"/>
              </w:rPr>
            </w:pPr>
            <w:r>
              <w:rPr>
                <w:rFonts w:hint="eastAsia" w:ascii="仿宋" w:hAnsi="仿宋" w:eastAsia="仿宋" w:cs="宋体"/>
                <w:kern w:val="0"/>
                <w:sz w:val="24"/>
              </w:rPr>
              <w:t>省教育厅</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市、县、自治县教育行政部门</w:t>
            </w:r>
          </w:p>
        </w:tc>
        <w:tc>
          <w:tcPr>
            <w:tcW w:w="1332"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kern w:val="0"/>
                <w:sz w:val="24"/>
              </w:rPr>
            </w:pPr>
          </w:p>
        </w:tc>
      </w:tr>
      <w:tr>
        <w:tblPrEx>
          <w:tblLayout w:type="fixed"/>
          <w:tblCellMar>
            <w:top w:w="0" w:type="dxa"/>
            <w:left w:w="108" w:type="dxa"/>
            <w:bottom w:w="0" w:type="dxa"/>
            <w:right w:w="108" w:type="dxa"/>
          </w:tblCellMar>
        </w:tblPrEx>
        <w:trPr>
          <w:trHeight w:val="4187"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2</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外国公民、组织和国际组织参观未开放的文物点和考古发掘现场审批</w:t>
            </w:r>
          </w:p>
        </w:tc>
        <w:tc>
          <w:tcPr>
            <w:tcW w:w="7114" w:type="dxa"/>
            <w:tcBorders>
              <w:top w:val="single" w:color="auto" w:sz="4" w:space="0"/>
              <w:left w:val="single" w:color="auto" w:sz="4" w:space="0"/>
              <w:bottom w:val="single" w:color="auto" w:sz="4" w:space="0"/>
              <w:right w:val="single" w:color="auto" w:sz="4" w:space="0"/>
            </w:tcBorders>
            <w:vAlign w:val="center"/>
          </w:tcPr>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中华人民共和国考古涉外工作管理办法》（1990年12月31日国务院批准，1991年2月22日国家文物局令第1号发布，根据2016年2月6日发布的国务院令第666号《国务院关于修改部分行政法规的决定》修改）第十三条第一款、第二款：“外国公民、外国组织和国际组织在中国境内参观尚未公开接待参观者的文物点，在开放地区的，需由文物点所在地的管理单位或者接待参观者的中央国家机关及其直属单位，在参观一个月以前向文物点所在地的省、自治区、直辖市人民政府文物行政管理部门申报参观计划，经批准后方可进行；在未开放地区的，需由文物点所在地的管理单位或者接待参观者的中央国家机关及其直属单位，在参观一个月以前向文物点所在地的省、自治区、直辖市人民政府文物行政管理部门申报参观计划，经批准并按照有关涉外工作管理规定向有关部门办理手续后方可进行。</w:t>
            </w:r>
          </w:p>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参观正在进行工作的考古发掘现场，接待单位须征求主持发掘单位的意见，经考古发掘现场所在地的省、自治区、直辖市人民政府文物行政管理部门批准后方可进行。</w:t>
            </w:r>
            <w:r>
              <w:rPr>
                <w:rFonts w:ascii="仿宋" w:hAnsi="仿宋" w:eastAsia="仿宋" w:cs="宋体"/>
                <w:kern w:val="0"/>
                <w:sz w:val="24"/>
              </w:rPr>
              <w:t>”</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省文化广电</w:t>
            </w:r>
          </w:p>
          <w:p>
            <w:pPr>
              <w:widowControl/>
              <w:jc w:val="center"/>
              <w:rPr>
                <w:rFonts w:hint="eastAsia" w:ascii="仿宋" w:hAnsi="仿宋" w:eastAsia="仿宋" w:cs="宋体"/>
                <w:kern w:val="0"/>
                <w:sz w:val="24"/>
              </w:rPr>
            </w:pPr>
            <w:r>
              <w:rPr>
                <w:rFonts w:hint="eastAsia" w:ascii="仿宋" w:hAnsi="仿宋" w:eastAsia="仿宋" w:cs="宋体"/>
                <w:kern w:val="0"/>
                <w:sz w:val="24"/>
              </w:rPr>
              <w:t>出版体育厅</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kern w:val="0"/>
                <w:sz w:val="24"/>
              </w:rPr>
            </w:pPr>
            <w:r>
              <w:rPr>
                <w:rFonts w:hint="eastAsia" w:ascii="仿宋" w:hAnsi="仿宋" w:eastAsia="仿宋" w:cs="宋体"/>
                <w:kern w:val="0"/>
                <w:sz w:val="24"/>
              </w:rPr>
              <w:t>市、县、自治县文物行政管理部门</w:t>
            </w:r>
          </w:p>
        </w:tc>
        <w:tc>
          <w:tcPr>
            <w:tcW w:w="1332"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p>
        </w:tc>
      </w:tr>
      <w:tr>
        <w:tblPrEx>
          <w:tblLayout w:type="fixed"/>
          <w:tblCellMar>
            <w:top w:w="0" w:type="dxa"/>
            <w:left w:w="108" w:type="dxa"/>
            <w:bottom w:w="0" w:type="dxa"/>
            <w:right w:w="108" w:type="dxa"/>
          </w:tblCellMar>
        </w:tblPrEx>
        <w:trPr>
          <w:trHeight w:val="810"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序号</w:t>
            </w:r>
          </w:p>
        </w:tc>
        <w:tc>
          <w:tcPr>
            <w:tcW w:w="1578"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项目名称</w:t>
            </w:r>
          </w:p>
        </w:tc>
        <w:tc>
          <w:tcPr>
            <w:tcW w:w="7114"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设立依据</w:t>
            </w:r>
          </w:p>
        </w:tc>
        <w:tc>
          <w:tcPr>
            <w:tcW w:w="1843"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原实施机关</w:t>
            </w:r>
          </w:p>
        </w:tc>
        <w:tc>
          <w:tcPr>
            <w:tcW w:w="2551"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下放后实施机关</w:t>
            </w:r>
          </w:p>
        </w:tc>
        <w:tc>
          <w:tcPr>
            <w:tcW w:w="1332"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备注</w:t>
            </w:r>
          </w:p>
        </w:tc>
      </w:tr>
      <w:tr>
        <w:tblPrEx>
          <w:tblLayout w:type="fixed"/>
          <w:tblCellMar>
            <w:top w:w="0" w:type="dxa"/>
            <w:left w:w="108" w:type="dxa"/>
            <w:bottom w:w="0" w:type="dxa"/>
            <w:right w:w="108" w:type="dxa"/>
          </w:tblCellMar>
        </w:tblPrEx>
        <w:trPr>
          <w:trHeight w:val="90"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3</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kern w:val="0"/>
                <w:sz w:val="24"/>
              </w:rPr>
            </w:pPr>
            <w:r>
              <w:rPr>
                <w:rFonts w:hint="eastAsia" w:ascii="仿宋" w:hAnsi="仿宋" w:eastAsia="仿宋" w:cs="宋体"/>
                <w:kern w:val="0"/>
                <w:sz w:val="24"/>
              </w:rPr>
              <w:t>消毒产品生产企业卫生许可（首次发放、复核、延续、变更）</w:t>
            </w:r>
          </w:p>
        </w:tc>
        <w:tc>
          <w:tcPr>
            <w:tcW w:w="711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480" w:firstLineChars="20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《中华人民共和国传染病防治法》第二十九条第三款：“生产用于传染病防治的消毒产品的单位和生产用于传染病防治的消毒产品，应当经省级以上人民政府卫生行政部门审批。具体办法由国务院制定。”</w:t>
            </w:r>
            <w:r>
              <w:rPr>
                <w:rFonts w:hint="eastAsia" w:ascii="仿宋" w:hAnsi="仿宋" w:eastAsia="仿宋" w:cs="宋体"/>
                <w:kern w:val="0"/>
                <w:sz w:val="24"/>
              </w:rPr>
              <w:br w:type="textWrapping"/>
            </w:r>
            <w:r>
              <w:rPr>
                <w:rFonts w:hint="eastAsia" w:ascii="仿宋" w:hAnsi="仿宋" w:eastAsia="仿宋" w:cs="宋体"/>
                <w:kern w:val="0"/>
                <w:sz w:val="24"/>
              </w:rPr>
              <w:t xml:space="preserve">   《国务院对确需保留的行政审批项目设定行政许可的决定》第200项明确规定了消毒产品生产企业（一次性使用医疗用品的生产企业除外）卫生许可予以保留。</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省卫生计生委</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市、县、自治县卫生行政部门</w:t>
            </w:r>
          </w:p>
        </w:tc>
        <w:tc>
          <w:tcPr>
            <w:tcW w:w="1332"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p>
        </w:tc>
      </w:tr>
      <w:tr>
        <w:tblPrEx>
          <w:tblLayout w:type="fixed"/>
          <w:tblCellMar>
            <w:top w:w="0" w:type="dxa"/>
            <w:left w:w="108" w:type="dxa"/>
            <w:bottom w:w="0" w:type="dxa"/>
            <w:right w:w="108" w:type="dxa"/>
          </w:tblCellMar>
        </w:tblPrEx>
        <w:trPr>
          <w:trHeight w:val="2473"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4</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职业健康检查与诊断机构资质审批</w:t>
            </w:r>
          </w:p>
        </w:tc>
        <w:tc>
          <w:tcPr>
            <w:tcW w:w="711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480" w:firstLineChars="20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《中华人民共和国职业病防治法》 第三十五条第三款:“职业健康检查应当由省级以上人民政府卫生行政部门批准的医疗卫生机构承担。”</w:t>
            </w:r>
            <w:r>
              <w:rPr>
                <w:rFonts w:hint="eastAsia" w:ascii="仿宋" w:hAnsi="仿宋" w:eastAsia="仿宋" w:cs="宋体"/>
                <w:kern w:val="0"/>
                <w:sz w:val="24"/>
              </w:rPr>
              <w:br w:type="textWrapping"/>
            </w:r>
            <w:r>
              <w:rPr>
                <w:rFonts w:hint="eastAsia" w:ascii="仿宋" w:hAnsi="仿宋" w:eastAsia="仿宋" w:cs="宋体"/>
                <w:kern w:val="0"/>
                <w:sz w:val="24"/>
              </w:rPr>
              <w:t xml:space="preserve">    第四十三条第一款:“医疗卫生机构承担职业病诊断，应当经省、自治区、直辖市人民政府卫生行政部门批准。省、自治区、直辖市人民政府卫生行政部门应当向社会公布本行政区域内承担职业病诊断的医疗卫生机构名单。”</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省卫生计生委</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kern w:val="0"/>
                <w:sz w:val="24"/>
              </w:rPr>
            </w:pPr>
            <w:r>
              <w:rPr>
                <w:rFonts w:hint="eastAsia" w:ascii="仿宋" w:hAnsi="仿宋" w:eastAsia="仿宋" w:cs="宋体"/>
                <w:kern w:val="0"/>
                <w:sz w:val="24"/>
              </w:rPr>
              <w:t>市、县、自治县卫生行政部门</w:t>
            </w:r>
          </w:p>
        </w:tc>
        <w:tc>
          <w:tcPr>
            <w:tcW w:w="1332"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p>
        </w:tc>
      </w:tr>
      <w:tr>
        <w:tblPrEx>
          <w:tblLayout w:type="fixed"/>
          <w:tblCellMar>
            <w:top w:w="0" w:type="dxa"/>
            <w:left w:w="108" w:type="dxa"/>
            <w:bottom w:w="0" w:type="dxa"/>
            <w:right w:w="108" w:type="dxa"/>
          </w:tblCellMar>
        </w:tblPrEx>
        <w:trPr>
          <w:trHeight w:val="2148"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5</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麻醉药品、第一类精神药品购用印鉴卡审批</w:t>
            </w:r>
          </w:p>
        </w:tc>
        <w:tc>
          <w:tcPr>
            <w:tcW w:w="711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480" w:firstLineChars="20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国务院《麻醉药品和精神药品管理条例》第三十六条第一款：“医疗机构需要使用麻醉药品和第一类精神药品的，应当经所在地设区的市级人民政府卫生主管部门批准，取得麻醉药品、第一类精神药品购用印鉴卡（以下称印鉴卡）。医疗机构应当凭印鉴卡向本省、自治区、直辖市行政区域内的定点批发企业购买麻醉药品和第一类精神药品。”</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省卫生计生委</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市、县、自治县卫生行政部门</w:t>
            </w:r>
          </w:p>
        </w:tc>
        <w:tc>
          <w:tcPr>
            <w:tcW w:w="133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原海口市</w:t>
            </w:r>
            <w:r>
              <w:rPr>
                <w:rFonts w:ascii="仿宋" w:hAnsi="仿宋" w:eastAsia="仿宋" w:cs="宋体"/>
                <w:kern w:val="0"/>
                <w:sz w:val="24"/>
              </w:rPr>
              <w:t>、三亚</w:t>
            </w:r>
            <w:r>
              <w:rPr>
                <w:rFonts w:hint="eastAsia" w:ascii="仿宋" w:hAnsi="仿宋" w:eastAsia="仿宋" w:cs="宋体"/>
                <w:kern w:val="0"/>
                <w:sz w:val="24"/>
              </w:rPr>
              <w:t>市</w:t>
            </w:r>
            <w:r>
              <w:rPr>
                <w:rFonts w:ascii="仿宋" w:hAnsi="仿宋" w:eastAsia="仿宋" w:cs="宋体"/>
                <w:kern w:val="0"/>
                <w:sz w:val="24"/>
              </w:rPr>
              <w:t>的直管单位</w:t>
            </w:r>
            <w:r>
              <w:rPr>
                <w:rFonts w:hint="eastAsia" w:ascii="仿宋" w:hAnsi="仿宋" w:eastAsia="仿宋" w:cs="宋体"/>
                <w:kern w:val="0"/>
                <w:sz w:val="24"/>
              </w:rPr>
              <w:t>购用</w:t>
            </w:r>
            <w:r>
              <w:rPr>
                <w:rFonts w:ascii="仿宋" w:hAnsi="仿宋" w:eastAsia="仿宋" w:cs="宋体"/>
                <w:kern w:val="0"/>
                <w:sz w:val="24"/>
              </w:rPr>
              <w:t>印鉴卡</w:t>
            </w:r>
            <w:r>
              <w:rPr>
                <w:rFonts w:hint="eastAsia" w:ascii="仿宋" w:hAnsi="仿宋" w:eastAsia="仿宋" w:cs="宋体"/>
                <w:kern w:val="0"/>
                <w:sz w:val="24"/>
              </w:rPr>
              <w:t>,</w:t>
            </w:r>
            <w:r>
              <w:rPr>
                <w:rFonts w:ascii="仿宋" w:hAnsi="仿宋" w:eastAsia="仿宋" w:cs="宋体"/>
                <w:kern w:val="0"/>
                <w:sz w:val="24"/>
              </w:rPr>
              <w:t>继续由所在</w:t>
            </w:r>
            <w:r>
              <w:rPr>
                <w:rFonts w:hint="eastAsia" w:ascii="仿宋" w:hAnsi="仿宋" w:eastAsia="仿宋" w:cs="宋体"/>
                <w:kern w:val="0"/>
                <w:sz w:val="24"/>
              </w:rPr>
              <w:t>地市</w:t>
            </w:r>
            <w:r>
              <w:rPr>
                <w:rFonts w:ascii="仿宋" w:hAnsi="仿宋" w:eastAsia="仿宋" w:cs="宋体"/>
                <w:kern w:val="0"/>
                <w:sz w:val="24"/>
              </w:rPr>
              <w:t>卫生主管部门审批</w:t>
            </w:r>
            <w:r>
              <w:rPr>
                <w:rFonts w:hint="eastAsia" w:ascii="仿宋" w:hAnsi="仿宋" w:eastAsia="仿宋" w:cs="宋体"/>
                <w:kern w:val="0"/>
                <w:sz w:val="24"/>
              </w:rPr>
              <w:t>。</w:t>
            </w:r>
          </w:p>
        </w:tc>
      </w:tr>
      <w:tr>
        <w:tblPrEx>
          <w:tblLayout w:type="fixed"/>
          <w:tblCellMar>
            <w:top w:w="0" w:type="dxa"/>
            <w:left w:w="108" w:type="dxa"/>
            <w:bottom w:w="0" w:type="dxa"/>
            <w:right w:w="108" w:type="dxa"/>
          </w:tblCellMar>
        </w:tblPrEx>
        <w:trPr>
          <w:trHeight w:val="810"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序号</w:t>
            </w:r>
          </w:p>
        </w:tc>
        <w:tc>
          <w:tcPr>
            <w:tcW w:w="1578"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项目名称</w:t>
            </w:r>
          </w:p>
        </w:tc>
        <w:tc>
          <w:tcPr>
            <w:tcW w:w="7114"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设立依据</w:t>
            </w:r>
          </w:p>
        </w:tc>
        <w:tc>
          <w:tcPr>
            <w:tcW w:w="1843"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原实施机关</w:t>
            </w:r>
          </w:p>
        </w:tc>
        <w:tc>
          <w:tcPr>
            <w:tcW w:w="2551"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下放后实施机关</w:t>
            </w:r>
          </w:p>
        </w:tc>
        <w:tc>
          <w:tcPr>
            <w:tcW w:w="1332"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备注</w:t>
            </w:r>
          </w:p>
        </w:tc>
      </w:tr>
      <w:tr>
        <w:tblPrEx>
          <w:tblLayout w:type="fixed"/>
          <w:tblCellMar>
            <w:top w:w="0" w:type="dxa"/>
            <w:left w:w="108" w:type="dxa"/>
            <w:bottom w:w="0" w:type="dxa"/>
            <w:right w:w="108" w:type="dxa"/>
          </w:tblCellMar>
        </w:tblPrEx>
        <w:trPr>
          <w:trHeight w:val="2658"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6</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设立中外合资（合作）职业介绍机构审批</w:t>
            </w:r>
          </w:p>
        </w:tc>
        <w:tc>
          <w:tcPr>
            <w:tcW w:w="7114" w:type="dxa"/>
            <w:tcBorders>
              <w:top w:val="single" w:color="auto" w:sz="4" w:space="0"/>
              <w:left w:val="single" w:color="auto" w:sz="4" w:space="0"/>
              <w:bottom w:val="single" w:color="auto" w:sz="4" w:space="0"/>
              <w:right w:val="single" w:color="auto" w:sz="4" w:space="0"/>
            </w:tcBorders>
            <w:vAlign w:val="center"/>
          </w:tcPr>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《国务院对确需保留的行政审批项目设定行政许可的决定》第89项“设立中外合资（合作）职业介绍机构审批”的实施机关是省级人民政府劳动保障行政主管部门 。</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szCs w:val="20"/>
              </w:rPr>
            </w:pPr>
            <w:r>
              <w:rPr>
                <w:rFonts w:hint="eastAsia" w:ascii="仿宋" w:hAnsi="仿宋" w:eastAsia="仿宋" w:cs="宋体"/>
                <w:kern w:val="0"/>
                <w:sz w:val="24"/>
                <w:szCs w:val="20"/>
              </w:rPr>
              <w:t>省人力资源和</w:t>
            </w:r>
          </w:p>
          <w:p>
            <w:pPr>
              <w:widowControl/>
              <w:jc w:val="center"/>
              <w:rPr>
                <w:rFonts w:hint="eastAsia" w:ascii="仿宋" w:hAnsi="仿宋" w:eastAsia="仿宋" w:cs="宋体"/>
                <w:kern w:val="0"/>
                <w:sz w:val="24"/>
              </w:rPr>
            </w:pPr>
            <w:r>
              <w:rPr>
                <w:rFonts w:hint="eastAsia" w:ascii="仿宋" w:hAnsi="仿宋" w:eastAsia="仿宋" w:cs="宋体"/>
                <w:kern w:val="0"/>
                <w:sz w:val="24"/>
                <w:szCs w:val="20"/>
              </w:rPr>
              <w:t>社会保障厅</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市、县、自治县人力资源和社会保障行政主管部门</w:t>
            </w:r>
          </w:p>
        </w:tc>
        <w:tc>
          <w:tcPr>
            <w:tcW w:w="1332"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黑体" w:hAnsi="黑体" w:eastAsia="黑体" w:cs="宋体"/>
                <w:kern w:val="0"/>
                <w:sz w:val="24"/>
              </w:rPr>
            </w:pPr>
          </w:p>
        </w:tc>
      </w:tr>
      <w:tr>
        <w:tblPrEx>
          <w:tblLayout w:type="fixed"/>
          <w:tblCellMar>
            <w:top w:w="0" w:type="dxa"/>
            <w:left w:w="108" w:type="dxa"/>
            <w:bottom w:w="0" w:type="dxa"/>
            <w:right w:w="108" w:type="dxa"/>
          </w:tblCellMar>
        </w:tblPrEx>
        <w:trPr>
          <w:trHeight w:val="1976"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7</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护士执业注册（首次、延续、跨省变更）</w:t>
            </w:r>
          </w:p>
        </w:tc>
        <w:tc>
          <w:tcPr>
            <w:tcW w:w="7114" w:type="dxa"/>
            <w:tcBorders>
              <w:top w:val="single" w:color="auto" w:sz="4" w:space="0"/>
              <w:left w:val="single" w:color="auto" w:sz="4" w:space="0"/>
              <w:bottom w:val="single" w:color="auto" w:sz="4" w:space="0"/>
              <w:right w:val="single" w:color="auto" w:sz="4" w:space="0"/>
            </w:tcBorders>
            <w:vAlign w:val="center"/>
          </w:tcPr>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国务院《护士条例》第八条第一款：“申请护士执业注册的，应当向拟执业地省、自治区、直辖市人民政府卫生主管部门提出申请。收到申请的卫生主管部门应当自收到申请之日起20个工作日内做出决定，对具备本条例规定条件的，准予注册，并发给护士执业证书；对不具备本条例规定条件的，不予注册，并书面说明理由。”</w:t>
            </w:r>
          </w:p>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第九条：“护士在其执业注册有效期内变更执业地点的，应当向拟执业地省、自治区、直辖市人民政府卫生主管部门报告。收到报告的卫生主管部门应当自收到报告之日起7个工作日内为其办理变更手续。护士跨省、自治区、直辖市变更执业地点的，收到报告的卫生主管部门还应当向其原执业地省、自治区、直辖市人民政府卫生主管部门通报。”</w:t>
            </w:r>
          </w:p>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第十条第一款：“护士执业注册有效期届满需要继续执业的，应当在护士执业注册有效期届满前30日向执业地省、自治区、直辖市人民政府卫生主管部门申请延续注册。收到申请的卫生主管部门对具备本条例规定条件的，准予延续，延续执业注册有效期为5年；对不具备本条例规定条件的，不予延续，并书面说明理由。”</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省卫生计生委</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市、县、自治县卫生行政部门</w:t>
            </w:r>
          </w:p>
        </w:tc>
        <w:tc>
          <w:tcPr>
            <w:tcW w:w="133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此项为“医疗卫生人员资格认定、注册审批”的子项</w:t>
            </w:r>
          </w:p>
        </w:tc>
      </w:tr>
      <w:tr>
        <w:tblPrEx>
          <w:tblLayout w:type="fixed"/>
          <w:tblCellMar>
            <w:top w:w="0" w:type="dxa"/>
            <w:left w:w="108" w:type="dxa"/>
            <w:bottom w:w="0" w:type="dxa"/>
            <w:right w:w="108" w:type="dxa"/>
          </w:tblCellMar>
        </w:tblPrEx>
        <w:trPr>
          <w:trHeight w:val="810"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序号</w:t>
            </w:r>
          </w:p>
        </w:tc>
        <w:tc>
          <w:tcPr>
            <w:tcW w:w="1578"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项目名称</w:t>
            </w:r>
          </w:p>
        </w:tc>
        <w:tc>
          <w:tcPr>
            <w:tcW w:w="7114"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设立依据</w:t>
            </w:r>
          </w:p>
        </w:tc>
        <w:tc>
          <w:tcPr>
            <w:tcW w:w="1843"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原实施机关</w:t>
            </w:r>
          </w:p>
        </w:tc>
        <w:tc>
          <w:tcPr>
            <w:tcW w:w="2551" w:type="dxa"/>
            <w:tcBorders>
              <w:top w:val="single" w:color="auto" w:sz="4" w:space="0"/>
              <w:left w:val="nil"/>
              <w:bottom w:val="single" w:color="auto" w:sz="4" w:space="0"/>
              <w:right w:val="single" w:color="000000" w:sz="4" w:space="0"/>
            </w:tcBorders>
            <w:vAlign w:val="center"/>
          </w:tcPr>
          <w:p>
            <w:pPr>
              <w:widowControl/>
              <w:spacing w:line="360" w:lineRule="exact"/>
              <w:jc w:val="center"/>
              <w:rPr>
                <w:rFonts w:hint="eastAsia" w:ascii="黑体" w:hAnsi="宋体" w:eastAsia="黑体" w:cs="宋体"/>
                <w:kern w:val="0"/>
                <w:sz w:val="30"/>
                <w:szCs w:val="30"/>
              </w:rPr>
            </w:pPr>
            <w:r>
              <w:rPr>
                <w:rFonts w:hint="eastAsia" w:ascii="黑体" w:hAnsi="宋体" w:eastAsia="黑体" w:cs="宋体"/>
                <w:kern w:val="0"/>
                <w:sz w:val="30"/>
                <w:szCs w:val="30"/>
              </w:rPr>
              <w:t>下放后实施机关</w:t>
            </w:r>
          </w:p>
        </w:tc>
        <w:tc>
          <w:tcPr>
            <w:tcW w:w="1332" w:type="dxa"/>
            <w:tcBorders>
              <w:top w:val="single" w:color="auto" w:sz="4" w:space="0"/>
              <w:left w:val="nil"/>
              <w:bottom w:val="single" w:color="auto" w:sz="4" w:space="0"/>
              <w:right w:val="single" w:color="auto" w:sz="4" w:space="0"/>
            </w:tcBorders>
            <w:vAlign w:val="center"/>
          </w:tcPr>
          <w:p>
            <w:pPr>
              <w:widowControl/>
              <w:spacing w:line="360" w:lineRule="exact"/>
              <w:jc w:val="center"/>
              <w:rPr>
                <w:rFonts w:ascii="黑体" w:hAnsi="宋体" w:eastAsia="黑体" w:cs="宋体"/>
                <w:kern w:val="0"/>
                <w:sz w:val="30"/>
                <w:szCs w:val="30"/>
              </w:rPr>
            </w:pPr>
            <w:r>
              <w:rPr>
                <w:rFonts w:hint="eastAsia" w:ascii="黑体" w:hAnsi="宋体" w:eastAsia="黑体" w:cs="宋体"/>
                <w:kern w:val="0"/>
                <w:sz w:val="30"/>
                <w:szCs w:val="30"/>
              </w:rPr>
              <w:t>备注</w:t>
            </w:r>
          </w:p>
        </w:tc>
      </w:tr>
      <w:tr>
        <w:tblPrEx>
          <w:tblLayout w:type="fixed"/>
          <w:tblCellMar>
            <w:top w:w="0" w:type="dxa"/>
            <w:left w:w="108" w:type="dxa"/>
            <w:bottom w:w="0" w:type="dxa"/>
            <w:right w:w="108" w:type="dxa"/>
          </w:tblCellMar>
        </w:tblPrEx>
        <w:trPr>
          <w:trHeight w:val="1235" w:hRule="atLeast"/>
        </w:trPr>
        <w:tc>
          <w:tcPr>
            <w:tcW w:w="53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8</w:t>
            </w:r>
          </w:p>
        </w:tc>
        <w:tc>
          <w:tcPr>
            <w:tcW w:w="1578"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港澳台医师内地医师资格认定</w:t>
            </w:r>
          </w:p>
        </w:tc>
        <w:tc>
          <w:tcPr>
            <w:tcW w:w="7114" w:type="dxa"/>
            <w:tcBorders>
              <w:top w:val="single" w:color="auto" w:sz="4" w:space="0"/>
              <w:left w:val="single" w:color="auto" w:sz="4" w:space="0"/>
              <w:bottom w:val="single" w:color="auto" w:sz="4" w:space="0"/>
              <w:right w:val="single" w:color="auto" w:sz="4" w:space="0"/>
            </w:tcBorders>
            <w:vAlign w:val="center"/>
          </w:tcPr>
          <w:p>
            <w:pPr>
              <w:widowControl/>
              <w:spacing w:line="280" w:lineRule="exact"/>
              <w:ind w:firstLine="480" w:firstLineChars="200"/>
              <w:jc w:val="left"/>
              <w:rPr>
                <w:rFonts w:hint="eastAsia" w:ascii="仿宋" w:hAnsi="仿宋" w:eastAsia="仿宋" w:cs="宋体"/>
                <w:kern w:val="0"/>
                <w:sz w:val="24"/>
              </w:rPr>
            </w:pPr>
            <w:r>
              <w:rPr>
                <w:rFonts w:hint="eastAsia" w:ascii="仿宋" w:hAnsi="仿宋" w:eastAsia="仿宋" w:cs="宋体"/>
                <w:kern w:val="0"/>
                <w:sz w:val="24"/>
              </w:rPr>
              <w:t>《中华人民共和国执业医师法》第四十七条：“境外人员在中国境内申请医师考试、注册、执业或者从事临床示教、临床研究等活动的，按照国家有关规定办理。”</w:t>
            </w:r>
            <w:r>
              <w:rPr>
                <w:rFonts w:hint="eastAsia" w:ascii="仿宋" w:hAnsi="仿宋" w:eastAsia="仿宋" w:cs="宋体"/>
                <w:kern w:val="0"/>
                <w:sz w:val="24"/>
              </w:rPr>
              <w:br w:type="textWrapping"/>
            </w:r>
            <w:r>
              <w:rPr>
                <w:rFonts w:hint="eastAsia" w:ascii="仿宋" w:hAnsi="仿宋" w:eastAsia="仿宋" w:cs="宋体"/>
                <w:kern w:val="0"/>
                <w:sz w:val="24"/>
              </w:rPr>
              <w:t xml:space="preserve">    《关于</w:t>
            </w:r>
            <w:r>
              <w:rPr>
                <w:rFonts w:ascii="仿宋" w:hAnsi="仿宋" w:eastAsia="仿宋" w:cs="宋体"/>
                <w:kern w:val="0"/>
                <w:sz w:val="24"/>
              </w:rPr>
              <w:t>印发</w:t>
            </w:r>
            <w:r>
              <w:rPr>
                <w:rFonts w:hint="eastAsia" w:ascii="仿宋" w:hAnsi="仿宋" w:eastAsia="仿宋" w:cs="宋体"/>
                <w:kern w:val="0"/>
                <w:sz w:val="24"/>
              </w:rPr>
              <w:t>&lt;香港和澳门特别行政区医师获得内地医师资格认定管理办法&gt;的</w:t>
            </w:r>
            <w:r>
              <w:rPr>
                <w:rFonts w:ascii="仿宋" w:hAnsi="仿宋" w:eastAsia="仿宋" w:cs="宋体"/>
                <w:kern w:val="0"/>
                <w:sz w:val="24"/>
              </w:rPr>
              <w:t>通知</w:t>
            </w:r>
            <w:r>
              <w:rPr>
                <w:rFonts w:hint="eastAsia" w:ascii="仿宋" w:hAnsi="仿宋" w:eastAsia="仿宋" w:cs="宋体"/>
                <w:kern w:val="0"/>
                <w:sz w:val="24"/>
              </w:rPr>
              <w:t>》（卫医政发</w:t>
            </w:r>
            <w:r>
              <w:rPr>
                <w:rFonts w:ascii="仿宋" w:hAnsi="仿宋" w:eastAsia="仿宋" w:cs="宋体"/>
                <w:kern w:val="0"/>
                <w:sz w:val="24"/>
              </w:rPr>
              <w:t>[2009]33</w:t>
            </w:r>
            <w:r>
              <w:rPr>
                <w:rFonts w:hint="eastAsia" w:ascii="仿宋" w:hAnsi="仿宋" w:eastAsia="仿宋" w:cs="宋体"/>
                <w:kern w:val="0"/>
                <w:sz w:val="24"/>
              </w:rPr>
              <w:t>号）第五条：“省级卫生行政部门负责香港、澳门特别行政区医师申请内地医师资格认定的受理、审核和认定工作。”</w:t>
            </w:r>
            <w:r>
              <w:rPr>
                <w:rFonts w:hint="eastAsia" w:ascii="仿宋" w:hAnsi="仿宋" w:eastAsia="仿宋" w:cs="宋体"/>
                <w:kern w:val="0"/>
                <w:sz w:val="24"/>
              </w:rPr>
              <w:br w:type="textWrapping"/>
            </w:r>
            <w:r>
              <w:rPr>
                <w:rFonts w:hint="eastAsia" w:ascii="仿宋" w:hAnsi="仿宋" w:eastAsia="仿宋" w:cs="宋体"/>
                <w:kern w:val="0"/>
                <w:sz w:val="24"/>
              </w:rPr>
              <w:t xml:space="preserve">    《关于</w:t>
            </w:r>
            <w:r>
              <w:rPr>
                <w:rFonts w:ascii="仿宋" w:hAnsi="仿宋" w:eastAsia="仿宋" w:cs="宋体"/>
                <w:kern w:val="0"/>
                <w:sz w:val="24"/>
              </w:rPr>
              <w:t>印发</w:t>
            </w:r>
            <w:r>
              <w:rPr>
                <w:rFonts w:hint="eastAsia" w:ascii="仿宋" w:hAnsi="仿宋" w:eastAsia="仿宋" w:cs="宋体"/>
                <w:kern w:val="0"/>
                <w:sz w:val="24"/>
              </w:rPr>
              <w:t>&lt;台湾地区医师获得大陆医师资格认定管理办法&gt;的</w:t>
            </w:r>
            <w:r>
              <w:rPr>
                <w:rFonts w:ascii="仿宋" w:hAnsi="仿宋" w:eastAsia="仿宋" w:cs="宋体"/>
                <w:kern w:val="0"/>
                <w:sz w:val="24"/>
              </w:rPr>
              <w:t>通知</w:t>
            </w:r>
            <w:r>
              <w:rPr>
                <w:rFonts w:hint="eastAsia" w:ascii="仿宋" w:hAnsi="仿宋" w:eastAsia="仿宋" w:cs="宋体"/>
                <w:kern w:val="0"/>
                <w:sz w:val="24"/>
              </w:rPr>
              <w:t>》（卫医政发</w:t>
            </w:r>
            <w:r>
              <w:rPr>
                <w:rFonts w:ascii="仿宋" w:hAnsi="仿宋" w:eastAsia="仿宋" w:cs="宋体"/>
                <w:kern w:val="0"/>
                <w:sz w:val="24"/>
              </w:rPr>
              <w:t>[2009]32</w:t>
            </w:r>
            <w:r>
              <w:rPr>
                <w:rFonts w:hint="eastAsia" w:ascii="仿宋" w:hAnsi="仿宋" w:eastAsia="仿宋" w:cs="宋体"/>
                <w:kern w:val="0"/>
                <w:sz w:val="24"/>
              </w:rPr>
              <w:t>号）第五条：“省级卫生行政部门负责台湾地区医师申请大陆医师资格认定的受理、审核和认定工作。”</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仿宋" w:hAnsi="仿宋" w:eastAsia="仿宋" w:cs="宋体"/>
                <w:kern w:val="0"/>
                <w:sz w:val="24"/>
              </w:rPr>
            </w:pPr>
            <w:r>
              <w:rPr>
                <w:rFonts w:hint="eastAsia" w:ascii="仿宋" w:hAnsi="仿宋" w:eastAsia="仿宋" w:cs="宋体"/>
                <w:kern w:val="0"/>
                <w:sz w:val="24"/>
              </w:rPr>
              <w:t>省卫生计生委</w:t>
            </w:r>
          </w:p>
        </w:tc>
        <w:tc>
          <w:tcPr>
            <w:tcW w:w="2551"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24"/>
              </w:rPr>
            </w:pPr>
            <w:r>
              <w:rPr>
                <w:rFonts w:hint="eastAsia" w:ascii="仿宋" w:hAnsi="仿宋" w:eastAsia="仿宋" w:cs="宋体"/>
                <w:kern w:val="0"/>
                <w:sz w:val="24"/>
              </w:rPr>
              <w:t>市、县、自治县卫生行政部门</w:t>
            </w:r>
          </w:p>
        </w:tc>
        <w:tc>
          <w:tcPr>
            <w:tcW w:w="133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仿宋" w:hAnsi="仿宋" w:eastAsia="仿宋" w:cs="宋体"/>
                <w:kern w:val="0"/>
                <w:sz w:val="24"/>
              </w:rPr>
            </w:pPr>
            <w:r>
              <w:rPr>
                <w:rFonts w:hint="eastAsia" w:ascii="仿宋" w:hAnsi="仿宋" w:eastAsia="仿宋" w:cs="宋体"/>
                <w:kern w:val="0"/>
                <w:sz w:val="24"/>
              </w:rPr>
              <w:t>此项为“医疗卫生人员资格认定、注册审批”的子项</w:t>
            </w:r>
          </w:p>
        </w:tc>
      </w:tr>
    </w:tbl>
    <w:p>
      <w:pPr>
        <w:widowControl/>
        <w:spacing w:line="300" w:lineRule="atLeast"/>
        <w:ind w:firstLine="630"/>
        <w:rPr>
          <w:rFonts w:hint="eastAsia" w:ascii="仿宋_GB2312" w:hAnsi="Arial" w:cs="Arial"/>
          <w:kern w:val="0"/>
          <w:szCs w:val="32"/>
        </w:rPr>
      </w:pPr>
    </w:p>
    <w:p>
      <w:pPr>
        <w:spacing w:line="360" w:lineRule="auto"/>
        <w:rPr>
          <w:rFonts w:hint="eastAsia" w:ascii="黑体" w:hAnsi="宋体" w:eastAsia="黑体"/>
          <w:szCs w:val="32"/>
        </w:rPr>
      </w:pPr>
    </w:p>
    <w:sectPr>
      <w:pgSz w:w="16838" w:h="11906" w:orient="landscape"/>
      <w:pgMar w:top="1803" w:right="1440" w:bottom="1468" w:left="1440" w:header="851" w:footer="992" w:gutter="0"/>
      <w:paperSrc/>
      <w:cols w:space="720" w:num="1"/>
      <w:rtlGutter w:val="0"/>
      <w:docGrid w:type="lines" w:linePitch="4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微软雅黑"/>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方正小标宋_GBK">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separate"/>
    </w:r>
    <w:r>
      <w:rPr>
        <w:rStyle w:val="8"/>
        <w:lang/>
      </w:rPr>
      <w:t>1</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7"/>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50EF"/>
    <w:rsid w:val="00040091"/>
    <w:rsid w:val="0004686C"/>
    <w:rsid w:val="00071008"/>
    <w:rsid w:val="00071849"/>
    <w:rsid w:val="000C1995"/>
    <w:rsid w:val="000E3675"/>
    <w:rsid w:val="000E5A16"/>
    <w:rsid w:val="00113FE0"/>
    <w:rsid w:val="0011502E"/>
    <w:rsid w:val="00140A15"/>
    <w:rsid w:val="001425CC"/>
    <w:rsid w:val="00167C58"/>
    <w:rsid w:val="00174E76"/>
    <w:rsid w:val="001923BE"/>
    <w:rsid w:val="00193744"/>
    <w:rsid w:val="00194895"/>
    <w:rsid w:val="001C21A2"/>
    <w:rsid w:val="001C55E2"/>
    <w:rsid w:val="001C6F87"/>
    <w:rsid w:val="001D19B9"/>
    <w:rsid w:val="001D330A"/>
    <w:rsid w:val="001D3D32"/>
    <w:rsid w:val="001F1629"/>
    <w:rsid w:val="0022409A"/>
    <w:rsid w:val="002264B7"/>
    <w:rsid w:val="002832DD"/>
    <w:rsid w:val="00296BE2"/>
    <w:rsid w:val="002C2410"/>
    <w:rsid w:val="002D175C"/>
    <w:rsid w:val="00316C6C"/>
    <w:rsid w:val="003171F8"/>
    <w:rsid w:val="0032209A"/>
    <w:rsid w:val="003305C1"/>
    <w:rsid w:val="00373633"/>
    <w:rsid w:val="003970AC"/>
    <w:rsid w:val="003B4B74"/>
    <w:rsid w:val="003D13A2"/>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1307F"/>
    <w:rsid w:val="00514845"/>
    <w:rsid w:val="00521D4B"/>
    <w:rsid w:val="00526A96"/>
    <w:rsid w:val="005307AF"/>
    <w:rsid w:val="005364E1"/>
    <w:rsid w:val="00571E16"/>
    <w:rsid w:val="00575BD3"/>
    <w:rsid w:val="005C7D0C"/>
    <w:rsid w:val="00600D26"/>
    <w:rsid w:val="00605BEC"/>
    <w:rsid w:val="00614DBA"/>
    <w:rsid w:val="00623278"/>
    <w:rsid w:val="00650DC0"/>
    <w:rsid w:val="006A0128"/>
    <w:rsid w:val="006B7A2F"/>
    <w:rsid w:val="006D04EC"/>
    <w:rsid w:val="0071567E"/>
    <w:rsid w:val="007312C7"/>
    <w:rsid w:val="00732897"/>
    <w:rsid w:val="0074122E"/>
    <w:rsid w:val="00754DC6"/>
    <w:rsid w:val="00767C9A"/>
    <w:rsid w:val="00774526"/>
    <w:rsid w:val="00785CC5"/>
    <w:rsid w:val="007A0F76"/>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E64DC"/>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25707"/>
    <w:rsid w:val="00B46CAD"/>
    <w:rsid w:val="00B5137A"/>
    <w:rsid w:val="00B61259"/>
    <w:rsid w:val="00B6783A"/>
    <w:rsid w:val="00B876FA"/>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27DF1"/>
    <w:rsid w:val="00DA03E7"/>
    <w:rsid w:val="00DC37E7"/>
    <w:rsid w:val="00DD06A5"/>
    <w:rsid w:val="00DD6759"/>
    <w:rsid w:val="00DE5667"/>
    <w:rsid w:val="00DF0385"/>
    <w:rsid w:val="00DF4387"/>
    <w:rsid w:val="00E22B11"/>
    <w:rsid w:val="00E47794"/>
    <w:rsid w:val="00E63EBF"/>
    <w:rsid w:val="00E750C9"/>
    <w:rsid w:val="00E861B6"/>
    <w:rsid w:val="00EB7A12"/>
    <w:rsid w:val="00ED6379"/>
    <w:rsid w:val="00EF4BFF"/>
    <w:rsid w:val="00F0475D"/>
    <w:rsid w:val="00F3264D"/>
    <w:rsid w:val="00F62F96"/>
    <w:rsid w:val="00F64C0E"/>
    <w:rsid w:val="00F6718D"/>
    <w:rsid w:val="00F761BE"/>
    <w:rsid w:val="00F775FD"/>
    <w:rsid w:val="00FB03A8"/>
    <w:rsid w:val="00FB4606"/>
    <w:rsid w:val="00FF173E"/>
    <w:rsid w:val="0799172E"/>
    <w:rsid w:val="0D1A400D"/>
    <w:rsid w:val="105D08E7"/>
    <w:rsid w:val="28F57442"/>
    <w:rsid w:val="2A995E9D"/>
    <w:rsid w:val="386501C9"/>
    <w:rsid w:val="396C354D"/>
    <w:rsid w:val="491F0908"/>
    <w:rsid w:val="4AFA7D04"/>
    <w:rsid w:val="736153DB"/>
    <w:rsid w:val="75D8350F"/>
    <w:rsid w:val="78A56E7C"/>
    <w:rsid w:val="7D16094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Plain Text"/>
    <w:basedOn w:val="1"/>
    <w:link w:val="13"/>
    <w:unhideWhenUsed/>
    <w:uiPriority w:val="99"/>
    <w:rPr>
      <w:rFonts w:ascii="宋体" w:hAnsi="Courier New" w:eastAsia="宋体" w:cs="Courier New"/>
      <w:sz w:val="21"/>
      <w:szCs w:val="21"/>
    </w:rPr>
  </w:style>
  <w:style w:type="paragraph" w:styleId="3">
    <w:name w:val="Date"/>
    <w:basedOn w:val="1"/>
    <w:next w:val="1"/>
    <w:uiPriority w:val="0"/>
    <w:pPr>
      <w:ind w:left="100" w:leftChars="2500"/>
    </w:pPr>
  </w:style>
  <w:style w:type="paragraph" w:styleId="4">
    <w:name w:val="Balloon Text"/>
    <w:basedOn w:val="1"/>
    <w:semiHidden/>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5"/>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uiPriority w:val="0"/>
    <w:rPr>
      <w:rFonts w:hint="default" w:ascii="ˎ̥" w:hAnsi="ˎ̥"/>
      <w:color w:val="0404B3"/>
      <w:sz w:val="18"/>
      <w:szCs w:val="18"/>
      <w:u w:val="none"/>
    </w:rPr>
  </w:style>
  <w:style w:type="table" w:styleId="11">
    <w:name w:val="Table Grid"/>
    <w:basedOn w:val="10"/>
    <w:uiPriority w:val="0"/>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列出段落"/>
    <w:basedOn w:val="1"/>
    <w:qFormat/>
    <w:uiPriority w:val="34"/>
    <w:pPr>
      <w:ind w:firstLine="420" w:firstLineChars="200"/>
    </w:pPr>
    <w:rPr>
      <w:rFonts w:ascii="Calibri" w:hAnsi="Calibri" w:eastAsia="宋体"/>
      <w:sz w:val="21"/>
      <w:szCs w:val="22"/>
    </w:rPr>
  </w:style>
  <w:style w:type="character" w:customStyle="1" w:styleId="13">
    <w:name w:val=" Char Char2"/>
    <w:link w:val="2"/>
    <w:uiPriority w:val="99"/>
    <w:rPr>
      <w:rFonts w:ascii="宋体" w:hAnsi="Courier New" w:cs="Courier New"/>
      <w:kern w:val="2"/>
      <w:sz w:val="21"/>
      <w:szCs w:val="21"/>
    </w:rPr>
  </w:style>
  <w:style w:type="character" w:customStyle="1" w:styleId="14">
    <w:name w:val=" Char Char"/>
    <w:link w:val="5"/>
    <w:uiPriority w:val="0"/>
    <w:rPr>
      <w:rFonts w:eastAsia="仿宋_GB2312"/>
      <w:kern w:val="2"/>
      <w:sz w:val="18"/>
      <w:szCs w:val="18"/>
    </w:rPr>
  </w:style>
  <w:style w:type="character" w:customStyle="1" w:styleId="15">
    <w:name w:val=" Char Char1"/>
    <w:link w:val="6"/>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npc</Company>
  <Pages>1</Pages>
  <Words>734</Words>
  <Characters>4187</Characters>
  <Lines>34</Lines>
  <Paragraphs>9</Paragraphs>
  <ScaleCrop>false</ScaleCrop>
  <LinksUpToDate>false</LinksUpToDate>
  <CharactersWithSpaces>4912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2017-01-11T02:38:00Z</dcterms:created>
  <dc:creator>lenovo</dc:creator>
  <cp:lastModifiedBy>lenovo</cp:lastModifiedBy>
  <cp:lastPrinted>2017-01-11T03:31:00Z</cp:lastPrinted>
  <dcterms:modified xsi:type="dcterms:W3CDTF">2017-04-19T07:03:57Z</dcterms:modified>
  <dc:title>备案报告电子报备标准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