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tabs>
          <w:tab w:val="left" w:pos="9193"/>
          <w:tab w:val="left" w:pos="9827"/>
        </w:tabs>
        <w:kinsoku/>
        <w:wordWrap/>
        <w:overflowPunct/>
        <w:topLinePunct w:val="0"/>
        <w:autoSpaceDE w:val="0"/>
        <w:autoSpaceDN w:val="0"/>
        <w:bidi w:val="0"/>
        <w:snapToGrid w:val="0"/>
        <w:spacing w:line="579" w:lineRule="exact"/>
        <w:ind w:left="0" w:leftChars="0" w:right="0" w:rightChars="0"/>
        <w:jc w:val="center"/>
        <w:textAlignment w:val="auto"/>
        <w:outlineLvl w:val="0"/>
        <w:rPr>
          <w:rFonts w:hint="eastAsia" w:ascii="宋体" w:hAnsi="宋体" w:eastAsia="宋体" w:cs="宋体"/>
          <w:bCs/>
          <w:snapToGrid w:val="0"/>
          <w:spacing w:val="10"/>
          <w:kern w:val="0"/>
          <w:sz w:val="32"/>
          <w:szCs w:val="32"/>
        </w:rPr>
      </w:pPr>
    </w:p>
    <w:p>
      <w:pPr>
        <w:keepNext w:val="0"/>
        <w:keepLines w:val="0"/>
        <w:pageBreakBefore w:val="0"/>
        <w:tabs>
          <w:tab w:val="left" w:pos="9193"/>
          <w:tab w:val="left" w:pos="9827"/>
        </w:tabs>
        <w:kinsoku/>
        <w:wordWrap/>
        <w:overflowPunct/>
        <w:topLinePunct w:val="0"/>
        <w:autoSpaceDE w:val="0"/>
        <w:autoSpaceDN w:val="0"/>
        <w:bidi w:val="0"/>
        <w:snapToGrid w:val="0"/>
        <w:spacing w:line="579" w:lineRule="exact"/>
        <w:ind w:left="0" w:leftChars="0" w:right="0" w:rightChars="0"/>
        <w:jc w:val="center"/>
        <w:textAlignment w:val="auto"/>
        <w:outlineLvl w:val="0"/>
        <w:rPr>
          <w:rFonts w:hint="eastAsia" w:ascii="宋体" w:hAnsi="宋体" w:eastAsia="宋体" w:cs="宋体"/>
          <w:bCs/>
          <w:snapToGrid w:val="0"/>
          <w:spacing w:val="10"/>
          <w:kern w:val="0"/>
          <w:sz w:val="32"/>
          <w:szCs w:val="32"/>
        </w:rPr>
      </w:pPr>
    </w:p>
    <w:p>
      <w:pPr>
        <w:keepNext w:val="0"/>
        <w:keepLines w:val="0"/>
        <w:pageBreakBefore w:val="0"/>
        <w:tabs>
          <w:tab w:val="left" w:pos="9193"/>
          <w:tab w:val="left" w:pos="9827"/>
        </w:tabs>
        <w:kinsoku/>
        <w:wordWrap/>
        <w:overflowPunct/>
        <w:topLinePunct w:val="0"/>
        <w:autoSpaceDE w:val="0"/>
        <w:autoSpaceDN w:val="0"/>
        <w:bidi w:val="0"/>
        <w:snapToGrid w:val="0"/>
        <w:spacing w:line="579" w:lineRule="exact"/>
        <w:ind w:left="0" w:leftChars="0" w:right="0" w:rightChars="0"/>
        <w:jc w:val="center"/>
        <w:textAlignment w:val="auto"/>
        <w:outlineLvl w:val="0"/>
        <w:rPr>
          <w:rFonts w:hint="eastAsia" w:ascii="宋体" w:hAnsi="宋体" w:eastAsia="宋体" w:cs="宋体"/>
          <w:bCs/>
          <w:snapToGrid w:val="0"/>
          <w:spacing w:val="10"/>
          <w:kern w:val="0"/>
          <w:sz w:val="44"/>
          <w:szCs w:val="44"/>
        </w:rPr>
      </w:pPr>
      <w:r>
        <w:rPr>
          <w:rFonts w:hint="eastAsia" w:ascii="方正小标宋简体" w:hAnsi="方正小标宋简体" w:eastAsia="方正小标宋简体"/>
          <w:bCs/>
          <w:snapToGrid w:val="0"/>
          <w:spacing w:val="10"/>
          <w:kern w:val="0"/>
          <w:sz w:val="32"/>
          <w:szCs w:val="32"/>
        </w:rPr>
        <w:t xml:space="preserve">   </w:t>
      </w:r>
      <w:r>
        <w:rPr>
          <w:rFonts w:hint="eastAsia" w:ascii="宋体" w:hAnsi="宋体" w:eastAsia="宋体" w:cs="宋体"/>
          <w:bCs/>
          <w:snapToGrid w:val="0"/>
          <w:spacing w:val="10"/>
          <w:kern w:val="0"/>
          <w:sz w:val="44"/>
          <w:szCs w:val="44"/>
        </w:rPr>
        <w:t xml:space="preserve"> </w:t>
      </w:r>
      <w:bookmarkStart w:id="0" w:name="OLE_LINK1"/>
      <w:r>
        <w:rPr>
          <w:rFonts w:hint="eastAsia" w:ascii="宋体" w:hAnsi="宋体" w:eastAsia="宋体" w:cs="宋体"/>
          <w:bCs/>
          <w:snapToGrid w:val="0"/>
          <w:spacing w:val="10"/>
          <w:kern w:val="0"/>
          <w:sz w:val="44"/>
          <w:szCs w:val="44"/>
        </w:rPr>
        <w:t>海南省生态保护红线管理规定</w:t>
      </w:r>
      <w:bookmarkEnd w:id="0"/>
    </w:p>
    <w:p>
      <w:pPr>
        <w:keepNext w:val="0"/>
        <w:keepLines w:val="0"/>
        <w:pageBreakBefore w:val="0"/>
        <w:widowControl/>
        <w:kinsoku/>
        <w:wordWrap/>
        <w:overflowPunct/>
        <w:topLinePunct w:val="0"/>
        <w:bidi w:val="0"/>
        <w:adjustRightInd w:val="0"/>
        <w:snapToGrid w:val="0"/>
        <w:spacing w:line="579" w:lineRule="exact"/>
        <w:ind w:left="0" w:leftChars="0" w:right="0" w:rightChars="0"/>
        <w:jc w:val="center"/>
        <w:textAlignment w:val="auto"/>
        <w:rPr>
          <w:rFonts w:hint="eastAsia" w:ascii="宋体" w:hAnsi="宋体" w:eastAsia="宋体" w:cs="宋体"/>
          <w:color w:val="000000"/>
          <w:sz w:val="32"/>
          <w:szCs w:val="32"/>
        </w:rPr>
      </w:pPr>
      <w:bookmarkStart w:id="1" w:name="_GoBack"/>
      <w:bookmarkEnd w:id="1"/>
    </w:p>
    <w:p>
      <w:pPr>
        <w:keepNext w:val="0"/>
        <w:keepLines w:val="0"/>
        <w:pageBreakBefore w:val="0"/>
        <w:widowControl w:val="0"/>
        <w:kinsoku/>
        <w:wordWrap/>
        <w:overflowPunct/>
        <w:topLinePunct w:val="0"/>
        <w:autoSpaceDE/>
        <w:autoSpaceDN/>
        <w:bidi w:val="0"/>
        <w:adjustRightInd/>
        <w:snapToGrid w:val="0"/>
        <w:spacing w:line="579" w:lineRule="exact"/>
        <w:ind w:left="420" w:leftChars="200" w:right="420" w:rightChars="200" w:firstLine="0" w:firstLineChars="0"/>
        <w:jc w:val="both"/>
        <w:textAlignment w:val="auto"/>
        <w:outlineLvl w:val="9"/>
        <w:rPr>
          <w:rFonts w:ascii="楷体_GB2312" w:hAnsi="楷体_GB2312" w:eastAsia="楷体_GB2312"/>
          <w:bCs/>
          <w:sz w:val="32"/>
          <w:szCs w:val="32"/>
        </w:rPr>
      </w:pPr>
      <w:r>
        <w:rPr>
          <w:rFonts w:hint="eastAsia" w:ascii="楷体_GB2312" w:hAnsi="楷体_GB2312" w:eastAsia="楷体_GB2312"/>
          <w:bCs/>
          <w:sz w:val="32"/>
          <w:szCs w:val="32"/>
        </w:rPr>
        <w:t>（2016年7月29日海南省第五届人民代表大会常务委员会第二十二次会议通过）</w:t>
      </w:r>
    </w:p>
    <w:p>
      <w:pPr>
        <w:keepNext w:val="0"/>
        <w:keepLines w:val="0"/>
        <w:pageBreakBefore w:val="0"/>
        <w:tabs>
          <w:tab w:val="left" w:pos="9193"/>
          <w:tab w:val="left" w:pos="9827"/>
        </w:tabs>
        <w:kinsoku/>
        <w:wordWrap/>
        <w:overflowPunct/>
        <w:topLinePunct w:val="0"/>
        <w:autoSpaceDE w:val="0"/>
        <w:autoSpaceDN w:val="0"/>
        <w:bidi w:val="0"/>
        <w:snapToGrid w:val="0"/>
        <w:spacing w:line="579" w:lineRule="exact"/>
        <w:ind w:left="0" w:leftChars="0" w:right="0" w:rightChars="0"/>
        <w:textAlignment w:val="auto"/>
        <w:rPr>
          <w:rFonts w:hint="eastAsia" w:ascii="宋体" w:hAnsi="宋体" w:eastAsia="宋体" w:cs="宋体"/>
          <w:snapToGrid w:val="0"/>
          <w:spacing w:val="10"/>
          <w:kern w:val="0"/>
          <w:sz w:val="32"/>
          <w:szCs w:val="32"/>
        </w:rPr>
      </w:pPr>
    </w:p>
    <w:p>
      <w:pPr>
        <w:keepNext w:val="0"/>
        <w:keepLines w:val="0"/>
        <w:pageBreakBefore w:val="0"/>
        <w:kinsoku/>
        <w:wordWrap/>
        <w:overflowPunct/>
        <w:topLinePunct w:val="0"/>
        <w:bidi w:val="0"/>
        <w:spacing w:line="579" w:lineRule="exact"/>
        <w:ind w:left="0" w:leftChars="0" w:right="0" w:rightChars="0" w:firstLine="640" w:firstLineChars="200"/>
        <w:textAlignment w:val="auto"/>
        <w:rPr>
          <w:rFonts w:eastAsia="仿宋_GB2312"/>
          <w:sz w:val="32"/>
          <w:szCs w:val="32"/>
        </w:rPr>
      </w:pPr>
      <w:r>
        <w:rPr>
          <w:rFonts w:eastAsia="黑体"/>
          <w:bCs/>
          <w:sz w:val="32"/>
          <w:szCs w:val="32"/>
        </w:rPr>
        <w:t>第一条</w:t>
      </w:r>
      <w:r>
        <w:rPr>
          <w:rFonts w:eastAsia="仿宋_GB2312"/>
          <w:b/>
          <w:sz w:val="32"/>
          <w:szCs w:val="32"/>
        </w:rPr>
        <w:t xml:space="preserve">  </w:t>
      </w:r>
      <w:r>
        <w:rPr>
          <w:rFonts w:eastAsia="仿宋_GB2312"/>
          <w:sz w:val="32"/>
          <w:szCs w:val="32"/>
        </w:rPr>
        <w:t>为了加强生态保护红线管理，保障本省生态安全和生态环境质量，促进经济社会可持续发展，根据《中华人民共和国环境保护法》、《中华人民共和国海洋环境保护法》等法律、法规，结合本省实际，制定本规定。</w:t>
      </w:r>
    </w:p>
    <w:p>
      <w:pPr>
        <w:keepNext w:val="0"/>
        <w:keepLines w:val="0"/>
        <w:pageBreakBefore w:val="0"/>
        <w:kinsoku/>
        <w:wordWrap/>
        <w:overflowPunct/>
        <w:topLinePunct w:val="0"/>
        <w:bidi w:val="0"/>
        <w:spacing w:line="579" w:lineRule="exact"/>
        <w:ind w:left="0" w:leftChars="0" w:right="0" w:rightChars="0" w:firstLine="640" w:firstLineChars="200"/>
        <w:textAlignment w:val="auto"/>
        <w:rPr>
          <w:rFonts w:ascii="仿宋_GB2312" w:eastAsia="仿宋_GB2312"/>
          <w:bCs/>
          <w:sz w:val="32"/>
          <w:szCs w:val="32"/>
        </w:rPr>
      </w:pPr>
      <w:r>
        <w:rPr>
          <w:rFonts w:eastAsia="黑体"/>
          <w:bCs/>
          <w:sz w:val="32"/>
          <w:szCs w:val="32"/>
        </w:rPr>
        <w:t xml:space="preserve">第二条  </w:t>
      </w:r>
      <w:r>
        <w:rPr>
          <w:rFonts w:hint="eastAsia" w:ascii="仿宋_GB2312" w:eastAsia="仿宋_GB2312"/>
          <w:bCs/>
          <w:sz w:val="32"/>
          <w:szCs w:val="32"/>
        </w:rPr>
        <w:t>本省行政区域内生态保护红线的划定和管理，适用本规定。</w:t>
      </w:r>
    </w:p>
    <w:p>
      <w:pPr>
        <w:keepNext w:val="0"/>
        <w:keepLines w:val="0"/>
        <w:pageBreakBefore w:val="0"/>
        <w:kinsoku/>
        <w:wordWrap/>
        <w:overflowPunct/>
        <w:topLinePunct w:val="0"/>
        <w:bidi w:val="0"/>
        <w:spacing w:line="579" w:lineRule="exact"/>
        <w:ind w:left="0" w:leftChars="0" w:right="0" w:rightChars="0" w:firstLine="640" w:firstLineChars="200"/>
        <w:textAlignment w:val="auto"/>
        <w:rPr>
          <w:rFonts w:eastAsia="仿宋_GB2312"/>
          <w:sz w:val="32"/>
          <w:szCs w:val="32"/>
        </w:rPr>
      </w:pPr>
      <w:r>
        <w:rPr>
          <w:rFonts w:eastAsia="仿宋_GB2312"/>
          <w:sz w:val="32"/>
          <w:szCs w:val="32"/>
        </w:rPr>
        <w:t>本规定所称生态保护红线，是指县级以上人民政府依法在本行政区域内</w:t>
      </w:r>
      <w:r>
        <w:rPr>
          <w:rFonts w:hint="eastAsia" w:ascii="仿宋_GB2312" w:hAnsi="黑体" w:eastAsia="仿宋_GB2312"/>
          <w:sz w:val="32"/>
          <w:szCs w:val="32"/>
        </w:rPr>
        <w:t>陆地</w:t>
      </w:r>
      <w:r>
        <w:rPr>
          <w:rFonts w:eastAsia="仿宋_GB2312"/>
          <w:sz w:val="32"/>
          <w:szCs w:val="32"/>
        </w:rPr>
        <w:t>和海洋重点生态功能区、生态环境敏感区和脆弱区等区域划定的严格管控边界。</w:t>
      </w:r>
    </w:p>
    <w:p>
      <w:pPr>
        <w:keepNext w:val="0"/>
        <w:keepLines w:val="0"/>
        <w:pageBreakBefore w:val="0"/>
        <w:kinsoku/>
        <w:wordWrap/>
        <w:overflowPunct/>
        <w:topLinePunct w:val="0"/>
        <w:bidi w:val="0"/>
        <w:spacing w:line="579" w:lineRule="exact"/>
        <w:ind w:left="0" w:leftChars="0" w:right="0" w:rightChars="0" w:firstLine="640" w:firstLineChars="200"/>
        <w:textAlignment w:val="auto"/>
        <w:rPr>
          <w:rFonts w:eastAsia="仿宋_GB2312"/>
          <w:sz w:val="32"/>
          <w:szCs w:val="32"/>
        </w:rPr>
      </w:pPr>
      <w:r>
        <w:rPr>
          <w:rFonts w:eastAsia="仿宋_GB2312"/>
          <w:sz w:val="32"/>
          <w:szCs w:val="32"/>
        </w:rPr>
        <w:t>生态保护红线所划定的区域为生态保护红线区。</w:t>
      </w:r>
    </w:p>
    <w:p>
      <w:pPr>
        <w:keepNext w:val="0"/>
        <w:keepLines w:val="0"/>
        <w:pageBreakBefore w:val="0"/>
        <w:kinsoku/>
        <w:wordWrap/>
        <w:overflowPunct/>
        <w:topLinePunct w:val="0"/>
        <w:bidi w:val="0"/>
        <w:spacing w:line="579" w:lineRule="exact"/>
        <w:ind w:left="0" w:leftChars="0" w:right="0" w:rightChars="0" w:firstLine="640" w:firstLineChars="200"/>
        <w:textAlignment w:val="auto"/>
        <w:rPr>
          <w:rFonts w:eastAsia="仿宋_GB2312"/>
          <w:sz w:val="32"/>
          <w:szCs w:val="32"/>
        </w:rPr>
      </w:pPr>
      <w:r>
        <w:rPr>
          <w:rFonts w:eastAsia="黑体"/>
          <w:bCs/>
          <w:sz w:val="32"/>
          <w:szCs w:val="32"/>
        </w:rPr>
        <w:t xml:space="preserve">第三条  </w:t>
      </w:r>
      <w:r>
        <w:rPr>
          <w:rFonts w:eastAsia="仿宋_GB2312"/>
          <w:sz w:val="32"/>
          <w:szCs w:val="32"/>
        </w:rPr>
        <w:t>生态保护红线的划定和</w:t>
      </w:r>
      <w:r>
        <w:rPr>
          <w:rFonts w:eastAsia="仿宋_GB2312"/>
          <w:bCs/>
          <w:sz w:val="32"/>
          <w:szCs w:val="32"/>
        </w:rPr>
        <w:t>管理</w:t>
      </w:r>
      <w:r>
        <w:rPr>
          <w:rFonts w:eastAsia="仿宋_GB2312"/>
          <w:sz w:val="32"/>
          <w:szCs w:val="32"/>
        </w:rPr>
        <w:t xml:space="preserve">，应当遵循保护优先、功能稳定、刚性控制、分类管控的原则。                                                                                                                                                                                                                                                                                                                                                                                                                                                                                                                                                                                                                                                                                                                                                                                                                                                                                                                                                                                                                                                                                                                                                                                                                                                                                                                                                                                                                                                                                                                                                                                                                                                                                                                                                                                                                                                                                                                                                                                                                                                                                                                                                                                                                                                                                                                                                                                                                                                                                                                                                                                                                                                                                 </w:t>
      </w:r>
    </w:p>
    <w:p>
      <w:pPr>
        <w:keepNext w:val="0"/>
        <w:keepLines w:val="0"/>
        <w:pageBreakBefore w:val="0"/>
        <w:kinsoku/>
        <w:wordWrap/>
        <w:overflowPunct/>
        <w:topLinePunct w:val="0"/>
        <w:bidi w:val="0"/>
        <w:spacing w:line="579" w:lineRule="exact"/>
        <w:ind w:left="0" w:leftChars="0" w:right="0" w:rightChars="0" w:firstLine="640" w:firstLineChars="200"/>
        <w:textAlignment w:val="auto"/>
        <w:rPr>
          <w:rFonts w:eastAsia="仿宋_GB2312"/>
          <w:sz w:val="32"/>
          <w:szCs w:val="32"/>
        </w:rPr>
      </w:pPr>
      <w:r>
        <w:rPr>
          <w:rFonts w:eastAsia="黑体"/>
          <w:bCs/>
          <w:sz w:val="32"/>
          <w:szCs w:val="32"/>
        </w:rPr>
        <w:t>第四条</w:t>
      </w:r>
      <w:r>
        <w:rPr>
          <w:rFonts w:eastAsia="仿宋_GB2312"/>
          <w:b/>
          <w:sz w:val="32"/>
          <w:szCs w:val="32"/>
        </w:rPr>
        <w:t xml:space="preserve">  </w:t>
      </w:r>
      <w:r>
        <w:rPr>
          <w:rFonts w:eastAsia="仿宋_GB2312"/>
          <w:sz w:val="32"/>
          <w:szCs w:val="32"/>
        </w:rPr>
        <w:t>省和市、县、自治县人民政府应当将生态保护红线纳入本行政区域的总体规划，并作为省和市、县、自治县总体规划的刚性约束，控制城乡发展边界和产业布局，促进经济建设和环境保护协调发展。</w:t>
      </w:r>
    </w:p>
    <w:p>
      <w:pPr>
        <w:keepNext w:val="0"/>
        <w:keepLines w:val="0"/>
        <w:pageBreakBefore w:val="0"/>
        <w:kinsoku/>
        <w:wordWrap/>
        <w:overflowPunct/>
        <w:topLinePunct w:val="0"/>
        <w:bidi w:val="0"/>
        <w:spacing w:line="579" w:lineRule="exact"/>
        <w:ind w:left="0" w:leftChars="0" w:right="0" w:rightChars="0" w:firstLine="640" w:firstLineChars="200"/>
        <w:textAlignment w:val="auto"/>
        <w:rPr>
          <w:rFonts w:eastAsia="仿宋_GB2312"/>
          <w:sz w:val="32"/>
          <w:szCs w:val="32"/>
        </w:rPr>
      </w:pPr>
      <w:r>
        <w:rPr>
          <w:rFonts w:eastAsia="黑体"/>
          <w:bCs/>
          <w:sz w:val="32"/>
          <w:szCs w:val="32"/>
        </w:rPr>
        <w:t xml:space="preserve">第五条  </w:t>
      </w:r>
      <w:r>
        <w:rPr>
          <w:rFonts w:eastAsia="仿宋_GB2312"/>
          <w:sz w:val="32"/>
          <w:szCs w:val="32"/>
        </w:rPr>
        <w:t>县级以上人民政府负责本行政区域内生态保护红线的监督管理，并将生态保护红线的监督管理工作作为政府及其负责人环境保护考核评价的内容。</w:t>
      </w:r>
    </w:p>
    <w:p>
      <w:pPr>
        <w:keepNext w:val="0"/>
        <w:keepLines w:val="0"/>
        <w:pageBreakBefore w:val="0"/>
        <w:kinsoku/>
        <w:wordWrap/>
        <w:overflowPunct/>
        <w:topLinePunct w:val="0"/>
        <w:bidi w:val="0"/>
        <w:spacing w:line="579" w:lineRule="exact"/>
        <w:ind w:left="0" w:leftChars="0" w:right="0" w:rightChars="0" w:firstLine="640" w:firstLineChars="200"/>
        <w:textAlignment w:val="auto"/>
        <w:rPr>
          <w:rFonts w:ascii="仿宋_GB2312" w:eastAsia="仿宋_GB2312"/>
          <w:color w:val="FF0000"/>
          <w:sz w:val="32"/>
          <w:szCs w:val="32"/>
        </w:rPr>
      </w:pPr>
      <w:r>
        <w:rPr>
          <w:rFonts w:eastAsia="黑体"/>
          <w:bCs/>
          <w:sz w:val="32"/>
          <w:szCs w:val="32"/>
        </w:rPr>
        <w:t>第六条</w:t>
      </w:r>
      <w:r>
        <w:rPr>
          <w:rFonts w:eastAsia="仿宋_GB2312"/>
          <w:b/>
          <w:sz w:val="32"/>
          <w:szCs w:val="32"/>
        </w:rPr>
        <w:t xml:space="preserve">  </w:t>
      </w:r>
      <w:r>
        <w:rPr>
          <w:rFonts w:hint="eastAsia" w:ascii="仿宋_GB2312" w:eastAsia="仿宋_GB2312"/>
          <w:sz w:val="32"/>
          <w:szCs w:val="32"/>
        </w:rPr>
        <w:t>县级以上人民政府环境保护主管部门负责组织本行政区域</w:t>
      </w:r>
      <w:r>
        <w:rPr>
          <w:rFonts w:hint="eastAsia" w:ascii="仿宋_GB2312" w:hAnsi="黑体" w:eastAsia="仿宋_GB2312"/>
          <w:sz w:val="32"/>
          <w:szCs w:val="32"/>
        </w:rPr>
        <w:t>陆地</w:t>
      </w:r>
      <w:r>
        <w:rPr>
          <w:rFonts w:hint="eastAsia" w:ascii="仿宋_GB2312" w:eastAsia="仿宋_GB2312"/>
          <w:sz w:val="32"/>
          <w:szCs w:val="32"/>
        </w:rPr>
        <w:t>生态保护红线的划定工作，并对本行</w:t>
      </w:r>
      <w:r>
        <w:rPr>
          <w:rFonts w:hint="eastAsia" w:ascii="仿宋_GB2312" w:eastAsia="仿宋_GB2312"/>
          <w:spacing w:val="-9"/>
          <w:sz w:val="32"/>
          <w:szCs w:val="32"/>
        </w:rPr>
        <w:t>政</w:t>
      </w:r>
      <w:r>
        <w:rPr>
          <w:rFonts w:hint="eastAsia" w:ascii="仿宋_GB2312" w:eastAsia="仿宋_GB2312"/>
          <w:spacing w:val="-7"/>
          <w:sz w:val="32"/>
          <w:szCs w:val="32"/>
        </w:rPr>
        <w:t>区域生态保护红线区内的生态保护实施统一监督管理。</w:t>
      </w:r>
    </w:p>
    <w:p>
      <w:pPr>
        <w:keepNext w:val="0"/>
        <w:keepLines w:val="0"/>
        <w:pageBreakBefore w:val="0"/>
        <w:kinsoku/>
        <w:wordWrap/>
        <w:overflowPunct/>
        <w:topLinePunct w:val="0"/>
        <w:bidi w:val="0"/>
        <w:spacing w:line="579" w:lineRule="exact"/>
        <w:ind w:left="0" w:leftChars="0" w:right="0" w:rightChars="0" w:firstLine="640" w:firstLineChars="200"/>
        <w:textAlignment w:val="auto"/>
        <w:rPr>
          <w:rFonts w:ascii="仿宋_GB2312" w:eastAsia="仿宋_GB2312"/>
          <w:color w:val="FF0000"/>
          <w:sz w:val="32"/>
          <w:szCs w:val="32"/>
        </w:rPr>
      </w:pPr>
      <w:r>
        <w:rPr>
          <w:rFonts w:hint="eastAsia" w:ascii="仿宋_GB2312" w:eastAsia="仿宋_GB2312"/>
          <w:sz w:val="32"/>
          <w:szCs w:val="32"/>
        </w:rPr>
        <w:t>县级以上人民政府海洋主管部门负责组织本行政区域海洋生态保护红线的划定工作，并按照职责做好海洋生态保护红线（区）保护与管理相关工作。</w:t>
      </w:r>
    </w:p>
    <w:p>
      <w:pPr>
        <w:keepNext w:val="0"/>
        <w:keepLines w:val="0"/>
        <w:pageBreakBefore w:val="0"/>
        <w:kinsoku/>
        <w:wordWrap/>
        <w:overflowPunct/>
        <w:topLinePunct w:val="0"/>
        <w:bidi w:val="0"/>
        <w:spacing w:line="579" w:lineRule="exact"/>
        <w:ind w:left="0" w:leftChars="0" w:right="0" w:rightChars="0" w:firstLine="640" w:firstLineChars="200"/>
        <w:textAlignment w:val="auto"/>
        <w:rPr>
          <w:rFonts w:ascii="仿宋_GB2312" w:eastAsia="仿宋_GB2312"/>
          <w:sz w:val="32"/>
          <w:szCs w:val="32"/>
        </w:rPr>
      </w:pPr>
      <w:r>
        <w:rPr>
          <w:rFonts w:hint="eastAsia" w:ascii="仿宋_GB2312" w:eastAsia="仿宋_GB2312"/>
          <w:sz w:val="32"/>
          <w:szCs w:val="32"/>
        </w:rPr>
        <w:t>县级以上人民政府规划、国土资源、住房和城乡建设、发展和改革、林业、水务、农业、旅游等有关主管部门，应当按照各自职责做好生态保护红线（区）保护与管理相关工作。</w:t>
      </w:r>
    </w:p>
    <w:p>
      <w:pPr>
        <w:keepNext w:val="0"/>
        <w:keepLines w:val="0"/>
        <w:pageBreakBefore w:val="0"/>
        <w:kinsoku/>
        <w:wordWrap/>
        <w:overflowPunct/>
        <w:topLinePunct w:val="0"/>
        <w:bidi w:val="0"/>
        <w:spacing w:line="579" w:lineRule="exact"/>
        <w:ind w:left="0" w:leftChars="0" w:right="0" w:rightChars="0" w:firstLine="640" w:firstLineChars="200"/>
        <w:textAlignment w:val="auto"/>
        <w:rPr>
          <w:rFonts w:ascii="仿宋_GB2312" w:eastAsia="仿宋_GB2312"/>
          <w:sz w:val="32"/>
          <w:szCs w:val="32"/>
        </w:rPr>
      </w:pPr>
      <w:r>
        <w:rPr>
          <w:rFonts w:eastAsia="黑体"/>
          <w:bCs/>
          <w:sz w:val="32"/>
          <w:szCs w:val="32"/>
        </w:rPr>
        <w:t>第七条</w:t>
      </w:r>
      <w:r>
        <w:rPr>
          <w:rFonts w:eastAsia="仿宋_GB2312"/>
          <w:b/>
          <w:sz w:val="32"/>
          <w:szCs w:val="32"/>
        </w:rPr>
        <w:t xml:space="preserve">  </w:t>
      </w:r>
      <w:r>
        <w:rPr>
          <w:rFonts w:hint="eastAsia" w:ascii="仿宋_GB2312" w:eastAsia="仿宋_GB2312"/>
          <w:sz w:val="32"/>
          <w:szCs w:val="32"/>
        </w:rPr>
        <w:t>乡镇人民政府、街道办事处应当依法做好生态保护红线（区）保护与管理相关工作。</w:t>
      </w:r>
    </w:p>
    <w:p>
      <w:pPr>
        <w:keepNext w:val="0"/>
        <w:keepLines w:val="0"/>
        <w:pageBreakBefore w:val="0"/>
        <w:kinsoku/>
        <w:wordWrap/>
        <w:overflowPunct/>
        <w:topLinePunct w:val="0"/>
        <w:bidi w:val="0"/>
        <w:spacing w:line="579" w:lineRule="exact"/>
        <w:ind w:left="0" w:leftChars="0" w:right="0" w:rightChars="0" w:firstLine="640" w:firstLineChars="200"/>
        <w:textAlignment w:val="auto"/>
        <w:rPr>
          <w:rFonts w:ascii="仿宋_GB2312" w:eastAsia="仿宋_GB2312"/>
          <w:sz w:val="32"/>
          <w:szCs w:val="32"/>
        </w:rPr>
      </w:pPr>
      <w:r>
        <w:rPr>
          <w:rFonts w:hint="eastAsia" w:ascii="仿宋_GB2312" w:eastAsia="仿宋_GB2312"/>
          <w:sz w:val="32"/>
          <w:szCs w:val="32"/>
        </w:rPr>
        <w:t>村（居）民委员会应当结合当地实际，在村规民约或者居民公约中规定生态保护红线区内生态保护的责任，协助当地人民政府及其相关部门做好生态保护红线（区）的保护和管理工作。</w:t>
      </w:r>
    </w:p>
    <w:p>
      <w:pPr>
        <w:keepNext w:val="0"/>
        <w:keepLines w:val="0"/>
        <w:pageBreakBefore w:val="0"/>
        <w:kinsoku/>
        <w:wordWrap/>
        <w:overflowPunct/>
        <w:topLinePunct w:val="0"/>
        <w:bidi w:val="0"/>
        <w:spacing w:line="579" w:lineRule="exact"/>
        <w:ind w:left="0" w:leftChars="0" w:right="0" w:rightChars="0" w:firstLine="640" w:firstLineChars="200"/>
        <w:textAlignment w:val="auto"/>
        <w:rPr>
          <w:rFonts w:ascii="仿宋_GB2312" w:eastAsia="仿宋_GB2312"/>
          <w:sz w:val="32"/>
          <w:szCs w:val="32"/>
        </w:rPr>
      </w:pPr>
      <w:r>
        <w:rPr>
          <w:rFonts w:eastAsia="黑体"/>
          <w:bCs/>
          <w:sz w:val="32"/>
          <w:szCs w:val="32"/>
        </w:rPr>
        <w:t>第八条</w:t>
      </w:r>
      <w:r>
        <w:rPr>
          <w:rFonts w:eastAsia="仿宋_GB2312"/>
          <w:b/>
          <w:sz w:val="32"/>
          <w:szCs w:val="32"/>
        </w:rPr>
        <w:t xml:space="preserve">  </w:t>
      </w:r>
      <w:r>
        <w:rPr>
          <w:rFonts w:hint="eastAsia" w:ascii="仿宋_GB2312" w:eastAsia="仿宋_GB2312"/>
          <w:sz w:val="32"/>
          <w:szCs w:val="32"/>
        </w:rPr>
        <w:t>县级以上人民政府应当</w:t>
      </w:r>
      <w:r>
        <w:rPr>
          <w:rFonts w:hint="eastAsia" w:ascii="仿宋_GB2312" w:eastAsia="仿宋_GB2312"/>
          <w:bCs/>
          <w:sz w:val="32"/>
          <w:szCs w:val="32"/>
        </w:rPr>
        <w:t>加强生态保护红线的宣传，普及生态保护红线知识，健全公众参与机制，</w:t>
      </w:r>
      <w:r>
        <w:rPr>
          <w:rFonts w:hint="eastAsia" w:ascii="仿宋_GB2312" w:eastAsia="仿宋_GB2312"/>
          <w:sz w:val="32"/>
          <w:szCs w:val="32"/>
        </w:rPr>
        <w:t>鼓励公民、法人和其他组织积极参与和监督生态保护红线管理，</w:t>
      </w:r>
      <w:r>
        <w:rPr>
          <w:rFonts w:hint="eastAsia" w:ascii="仿宋_GB2312" w:eastAsia="仿宋_GB2312"/>
          <w:bCs/>
          <w:sz w:val="32"/>
          <w:szCs w:val="32"/>
        </w:rPr>
        <w:t>并</w:t>
      </w:r>
      <w:r>
        <w:rPr>
          <w:rFonts w:hint="eastAsia" w:ascii="仿宋_GB2312" w:eastAsia="仿宋_GB2312"/>
          <w:sz w:val="32"/>
          <w:szCs w:val="32"/>
        </w:rPr>
        <w:t>对在生态保护红线保护与管理工作中做出突出贡献的单位和个人给予表彰与奖励。</w:t>
      </w:r>
    </w:p>
    <w:p>
      <w:pPr>
        <w:keepNext w:val="0"/>
        <w:keepLines w:val="0"/>
        <w:pageBreakBefore w:val="0"/>
        <w:kinsoku/>
        <w:wordWrap/>
        <w:overflowPunct/>
        <w:topLinePunct w:val="0"/>
        <w:bidi w:val="0"/>
        <w:spacing w:line="579" w:lineRule="exact"/>
        <w:ind w:left="0" w:leftChars="0" w:right="0" w:rightChars="0" w:firstLine="640" w:firstLineChars="200"/>
        <w:textAlignment w:val="auto"/>
        <w:rPr>
          <w:rFonts w:ascii="仿宋_GB2312" w:eastAsia="仿宋_GB2312"/>
          <w:sz w:val="32"/>
          <w:szCs w:val="32"/>
        </w:rPr>
      </w:pPr>
      <w:r>
        <w:rPr>
          <w:rFonts w:hint="eastAsia" w:ascii="仿宋_GB2312" w:eastAsia="仿宋_GB2312"/>
          <w:sz w:val="32"/>
          <w:szCs w:val="32"/>
        </w:rPr>
        <w:t>广播、电视、报刊和网络等新闻媒体应当开展生态保护红线公益宣传。</w:t>
      </w:r>
    </w:p>
    <w:p>
      <w:pPr>
        <w:keepNext w:val="0"/>
        <w:keepLines w:val="0"/>
        <w:pageBreakBefore w:val="0"/>
        <w:kinsoku/>
        <w:wordWrap/>
        <w:overflowPunct/>
        <w:topLinePunct w:val="0"/>
        <w:bidi w:val="0"/>
        <w:spacing w:line="579" w:lineRule="exact"/>
        <w:ind w:left="0" w:leftChars="0" w:right="0" w:rightChars="0" w:firstLine="640" w:firstLineChars="200"/>
        <w:textAlignment w:val="auto"/>
        <w:rPr>
          <w:rFonts w:ascii="仿宋_GB2312" w:eastAsia="仿宋_GB2312"/>
          <w:sz w:val="32"/>
          <w:szCs w:val="32"/>
        </w:rPr>
      </w:pPr>
      <w:r>
        <w:rPr>
          <w:rFonts w:eastAsia="黑体"/>
          <w:bCs/>
          <w:sz w:val="32"/>
          <w:szCs w:val="32"/>
        </w:rPr>
        <w:t>第九条</w:t>
      </w:r>
      <w:r>
        <w:rPr>
          <w:rFonts w:eastAsia="仿宋_GB2312"/>
          <w:b/>
          <w:sz w:val="32"/>
          <w:szCs w:val="32"/>
        </w:rPr>
        <w:t xml:space="preserve">  </w:t>
      </w:r>
      <w:r>
        <w:rPr>
          <w:rFonts w:hint="eastAsia" w:ascii="仿宋_GB2312" w:eastAsia="仿宋_GB2312"/>
          <w:sz w:val="32"/>
          <w:szCs w:val="32"/>
        </w:rPr>
        <w:t>县级以上人民政府应当依法公开生态保护红线区管控边界、管控要求及保护管理情况等相关信息。</w:t>
      </w:r>
    </w:p>
    <w:p>
      <w:pPr>
        <w:keepNext w:val="0"/>
        <w:keepLines w:val="0"/>
        <w:pageBreakBefore w:val="0"/>
        <w:kinsoku/>
        <w:wordWrap/>
        <w:overflowPunct/>
        <w:topLinePunct w:val="0"/>
        <w:bidi w:val="0"/>
        <w:spacing w:line="579" w:lineRule="exact"/>
        <w:ind w:left="0" w:leftChars="0" w:right="0" w:rightChars="0" w:firstLine="640" w:firstLineChars="200"/>
        <w:textAlignment w:val="auto"/>
        <w:rPr>
          <w:rFonts w:ascii="仿宋_GB2312" w:eastAsia="仿宋_GB2312"/>
          <w:sz w:val="32"/>
          <w:szCs w:val="32"/>
        </w:rPr>
      </w:pPr>
      <w:r>
        <w:rPr>
          <w:rFonts w:eastAsia="黑体"/>
          <w:sz w:val="32"/>
          <w:szCs w:val="32"/>
        </w:rPr>
        <w:t xml:space="preserve">第十条  </w:t>
      </w:r>
      <w:r>
        <w:rPr>
          <w:rFonts w:hint="eastAsia" w:ascii="仿宋_GB2312" w:eastAsia="仿宋_GB2312"/>
          <w:sz w:val="32"/>
          <w:szCs w:val="32"/>
        </w:rPr>
        <w:t>下列重点生态功能区、生态环境敏感区和脆弱区等区域应当划入生态保护红线：</w:t>
      </w:r>
    </w:p>
    <w:p>
      <w:pPr>
        <w:keepNext w:val="0"/>
        <w:keepLines w:val="0"/>
        <w:pageBreakBefore w:val="0"/>
        <w:kinsoku/>
        <w:wordWrap/>
        <w:overflowPunct/>
        <w:topLinePunct w:val="0"/>
        <w:bidi w:val="0"/>
        <w:spacing w:line="579" w:lineRule="exact"/>
        <w:ind w:left="0" w:leftChars="0" w:right="0" w:rightChars="0" w:firstLine="640" w:firstLineChars="200"/>
        <w:textAlignment w:val="auto"/>
        <w:rPr>
          <w:rFonts w:ascii="仿宋_GB2312" w:eastAsia="仿宋_GB2312"/>
          <w:sz w:val="32"/>
          <w:szCs w:val="32"/>
        </w:rPr>
      </w:pPr>
      <w:r>
        <w:rPr>
          <w:rFonts w:hint="eastAsia" w:ascii="仿宋_GB2312" w:eastAsia="仿宋_GB2312"/>
          <w:sz w:val="32"/>
          <w:szCs w:val="32"/>
        </w:rPr>
        <w:t>（一）自然保护区等重要生物多样性保护区，饮用水水源保护区等重要水源保护和涵养区，重要水土保持区，重要防洪调蓄区；</w:t>
      </w:r>
    </w:p>
    <w:p>
      <w:pPr>
        <w:keepNext w:val="0"/>
        <w:keepLines w:val="0"/>
        <w:pageBreakBefore w:val="0"/>
        <w:kinsoku/>
        <w:wordWrap/>
        <w:overflowPunct/>
        <w:topLinePunct w:val="0"/>
        <w:bidi w:val="0"/>
        <w:spacing w:line="579" w:lineRule="exact"/>
        <w:ind w:left="0" w:leftChars="0" w:right="0" w:rightChars="0" w:firstLine="640" w:firstLineChars="200"/>
        <w:textAlignment w:val="auto"/>
        <w:rPr>
          <w:rFonts w:ascii="仿宋_GB2312" w:eastAsia="仿宋_GB2312"/>
          <w:sz w:val="32"/>
          <w:szCs w:val="32"/>
        </w:rPr>
      </w:pPr>
      <w:r>
        <w:rPr>
          <w:rFonts w:hint="eastAsia" w:ascii="仿宋_GB2312" w:eastAsia="仿宋_GB2312"/>
          <w:sz w:val="32"/>
          <w:szCs w:val="32"/>
        </w:rPr>
        <w:t>（二）森林公园、湿地公园、地质公园等旅游功能保护区；</w:t>
      </w:r>
    </w:p>
    <w:p>
      <w:pPr>
        <w:keepNext w:val="0"/>
        <w:keepLines w:val="0"/>
        <w:pageBreakBefore w:val="0"/>
        <w:kinsoku/>
        <w:wordWrap/>
        <w:overflowPunct/>
        <w:topLinePunct w:val="0"/>
        <w:bidi w:val="0"/>
        <w:spacing w:line="579" w:lineRule="exact"/>
        <w:ind w:left="0" w:leftChars="0" w:right="0" w:rightChars="0" w:firstLine="640" w:firstLineChars="200"/>
        <w:textAlignment w:val="auto"/>
        <w:rPr>
          <w:rFonts w:ascii="仿宋_GB2312" w:eastAsia="仿宋_GB2312"/>
          <w:sz w:val="32"/>
          <w:szCs w:val="32"/>
        </w:rPr>
      </w:pPr>
      <w:r>
        <w:rPr>
          <w:rFonts w:hint="eastAsia" w:ascii="仿宋_GB2312" w:eastAsia="仿宋_GB2312"/>
          <w:sz w:val="32"/>
          <w:szCs w:val="32"/>
        </w:rPr>
        <w:t>（三）海岸带自然岸线及邻近海域；</w:t>
      </w:r>
    </w:p>
    <w:p>
      <w:pPr>
        <w:keepNext w:val="0"/>
        <w:keepLines w:val="0"/>
        <w:pageBreakBefore w:val="0"/>
        <w:kinsoku/>
        <w:wordWrap/>
        <w:overflowPunct/>
        <w:topLinePunct w:val="0"/>
        <w:bidi w:val="0"/>
        <w:spacing w:line="579" w:lineRule="exact"/>
        <w:ind w:left="0" w:leftChars="0" w:right="0" w:rightChars="0" w:firstLine="640" w:firstLineChars="200"/>
        <w:textAlignment w:val="auto"/>
        <w:rPr>
          <w:rFonts w:ascii="仿宋_GB2312" w:eastAsia="仿宋_GB2312"/>
          <w:sz w:val="32"/>
          <w:szCs w:val="32"/>
        </w:rPr>
      </w:pPr>
      <w:r>
        <w:rPr>
          <w:rFonts w:hint="eastAsia" w:ascii="仿宋_GB2312" w:eastAsia="仿宋_GB2312"/>
          <w:sz w:val="32"/>
          <w:szCs w:val="32"/>
        </w:rPr>
        <w:t>（四）海洋特别保护区，重要入海河口，红树林、珊瑚礁和海草床集中分布区，</w:t>
      </w:r>
      <w:r>
        <w:rPr>
          <w:rFonts w:hint="eastAsia" w:ascii="仿宋" w:hAnsi="仿宋" w:eastAsia="仿宋" w:cs="微软雅黑"/>
          <w:sz w:val="32"/>
          <w:szCs w:val="32"/>
        </w:rPr>
        <w:t>潟</w:t>
      </w:r>
      <w:r>
        <w:rPr>
          <w:rFonts w:hint="eastAsia" w:ascii="仿宋_GB2312" w:hAnsi="仿宋_GB2312" w:eastAsia="仿宋_GB2312" w:cs="仿宋_GB2312"/>
          <w:sz w:val="32"/>
          <w:szCs w:val="32"/>
        </w:rPr>
        <w:t>湖等；</w:t>
      </w:r>
    </w:p>
    <w:p>
      <w:pPr>
        <w:keepNext w:val="0"/>
        <w:keepLines w:val="0"/>
        <w:pageBreakBefore w:val="0"/>
        <w:kinsoku/>
        <w:wordWrap/>
        <w:overflowPunct/>
        <w:topLinePunct w:val="0"/>
        <w:bidi w:val="0"/>
        <w:spacing w:line="579" w:lineRule="exact"/>
        <w:ind w:left="0" w:leftChars="0" w:right="0" w:rightChars="0" w:firstLine="640" w:firstLineChars="200"/>
        <w:textAlignment w:val="auto"/>
        <w:rPr>
          <w:rFonts w:ascii="仿宋_GB2312" w:eastAsia="仿宋_GB2312"/>
          <w:sz w:val="32"/>
          <w:szCs w:val="32"/>
        </w:rPr>
      </w:pPr>
      <w:r>
        <w:rPr>
          <w:rFonts w:hint="eastAsia" w:ascii="仿宋_GB2312" w:eastAsia="仿宋_GB2312"/>
          <w:sz w:val="32"/>
          <w:szCs w:val="32"/>
        </w:rPr>
        <w:t>（五）其他具有重要生态功能或者生态环境敏感、脆弱的区域，包括：公益林、天然林、水产种质资源保护区、重要渔业水域等。</w:t>
      </w:r>
    </w:p>
    <w:p>
      <w:pPr>
        <w:keepNext w:val="0"/>
        <w:keepLines w:val="0"/>
        <w:pageBreakBefore w:val="0"/>
        <w:kinsoku/>
        <w:wordWrap/>
        <w:overflowPunct/>
        <w:topLinePunct w:val="0"/>
        <w:bidi w:val="0"/>
        <w:spacing w:line="579" w:lineRule="exact"/>
        <w:ind w:left="0" w:leftChars="0" w:right="0" w:rightChars="0" w:firstLine="640" w:firstLineChars="200"/>
        <w:textAlignment w:val="auto"/>
        <w:rPr>
          <w:rFonts w:ascii="仿宋_GB2312" w:eastAsia="仿宋_GB2312"/>
          <w:sz w:val="32"/>
          <w:szCs w:val="32"/>
        </w:rPr>
      </w:pPr>
      <w:r>
        <w:rPr>
          <w:rFonts w:eastAsia="黑体"/>
          <w:bCs/>
          <w:sz w:val="32"/>
          <w:szCs w:val="32"/>
        </w:rPr>
        <w:t xml:space="preserve">第十一条  </w:t>
      </w:r>
      <w:r>
        <w:rPr>
          <w:rFonts w:hint="eastAsia" w:ascii="仿宋_GB2312" w:eastAsia="仿宋_GB2312"/>
          <w:bCs/>
          <w:sz w:val="32"/>
          <w:szCs w:val="32"/>
        </w:rPr>
        <w:t>按照保护和管理的严格程度，</w:t>
      </w:r>
      <w:r>
        <w:rPr>
          <w:rFonts w:hint="eastAsia" w:ascii="仿宋_GB2312" w:eastAsia="仿宋_GB2312"/>
          <w:sz w:val="32"/>
          <w:szCs w:val="32"/>
        </w:rPr>
        <w:t xml:space="preserve">生态保护红线区划分为Ⅰ类生态保护红线区和Ⅱ类生态保护红线区。 </w:t>
      </w:r>
    </w:p>
    <w:p>
      <w:pPr>
        <w:keepNext w:val="0"/>
        <w:keepLines w:val="0"/>
        <w:pageBreakBefore w:val="0"/>
        <w:kinsoku/>
        <w:wordWrap/>
        <w:overflowPunct/>
        <w:topLinePunct w:val="0"/>
        <w:bidi w:val="0"/>
        <w:spacing w:line="579" w:lineRule="exact"/>
        <w:ind w:left="0" w:leftChars="0" w:right="0" w:rightChars="0" w:firstLine="640" w:firstLineChars="200"/>
        <w:textAlignment w:val="auto"/>
        <w:rPr>
          <w:rFonts w:ascii="仿宋_GB2312" w:eastAsia="仿宋_GB2312"/>
          <w:sz w:val="32"/>
          <w:szCs w:val="32"/>
        </w:rPr>
      </w:pPr>
      <w:r>
        <w:rPr>
          <w:rFonts w:hint="eastAsia" w:ascii="仿宋_GB2312" w:eastAsia="仿宋_GB2312"/>
          <w:sz w:val="32"/>
          <w:szCs w:val="32"/>
        </w:rPr>
        <w:t>具有极重要生物多样性保护、水土保持、水源涵养等生态服务功能的区域以及海岸带、</w:t>
      </w:r>
      <w:r>
        <w:rPr>
          <w:rFonts w:hint="eastAsia" w:ascii="仿宋_GB2312" w:hAnsi="黑体" w:eastAsia="仿宋_GB2312"/>
          <w:sz w:val="32"/>
          <w:szCs w:val="32"/>
        </w:rPr>
        <w:t>海洋</w:t>
      </w:r>
      <w:r>
        <w:rPr>
          <w:rFonts w:hint="eastAsia" w:ascii="仿宋_GB2312" w:eastAsia="仿宋_GB2312"/>
          <w:sz w:val="32"/>
          <w:szCs w:val="32"/>
        </w:rPr>
        <w:t>生态环境极敏感、</w:t>
      </w:r>
      <w:r>
        <w:rPr>
          <w:rFonts w:hint="eastAsia" w:ascii="仿宋_GB2312" w:hAnsi="黑体" w:eastAsia="仿宋_GB2312"/>
          <w:sz w:val="32"/>
          <w:szCs w:val="32"/>
        </w:rPr>
        <w:t>脆弱</w:t>
      </w:r>
      <w:r>
        <w:rPr>
          <w:rFonts w:hint="eastAsia" w:ascii="仿宋_GB2312" w:eastAsia="仿宋_GB2312"/>
          <w:sz w:val="32"/>
          <w:szCs w:val="32"/>
        </w:rPr>
        <w:t xml:space="preserve">区域，应当划为Ⅰ类生态保护红线区，至少包括：自然保护区的核心区和缓冲区、饮用水水源一级保护区、野生近缘种分布区、领海基点保护范围等区域。                                                                                                                                                                                                                                                                                                                                                                                                                                                                             </w:t>
      </w:r>
    </w:p>
    <w:p>
      <w:pPr>
        <w:keepNext w:val="0"/>
        <w:keepLines w:val="0"/>
        <w:pageBreakBefore w:val="0"/>
        <w:kinsoku/>
        <w:wordWrap/>
        <w:overflowPunct/>
        <w:topLinePunct w:val="0"/>
        <w:bidi w:val="0"/>
        <w:spacing w:line="579" w:lineRule="exact"/>
        <w:ind w:left="0" w:leftChars="0" w:right="0" w:rightChars="0" w:firstLine="640" w:firstLineChars="200"/>
        <w:textAlignment w:val="auto"/>
        <w:rPr>
          <w:rFonts w:ascii="仿宋_GB2312" w:eastAsia="仿宋_GB2312"/>
          <w:bCs/>
          <w:sz w:val="32"/>
          <w:szCs w:val="32"/>
        </w:rPr>
      </w:pPr>
      <w:r>
        <w:rPr>
          <w:rFonts w:hint="eastAsia" w:ascii="仿宋_GB2312" w:eastAsia="仿宋_GB2312"/>
          <w:bCs/>
          <w:sz w:val="32"/>
          <w:szCs w:val="32"/>
        </w:rPr>
        <w:t>未纳入Ⅰ类部分的生态保护红线区，为Ⅱ类生态保护红线区。</w:t>
      </w:r>
    </w:p>
    <w:p>
      <w:pPr>
        <w:keepNext w:val="0"/>
        <w:keepLines w:val="0"/>
        <w:pageBreakBefore w:val="0"/>
        <w:kinsoku/>
        <w:wordWrap/>
        <w:overflowPunct/>
        <w:topLinePunct w:val="0"/>
        <w:bidi w:val="0"/>
        <w:spacing w:line="579" w:lineRule="exact"/>
        <w:ind w:left="0" w:leftChars="0" w:right="0" w:rightChars="0" w:firstLine="640" w:firstLineChars="200"/>
        <w:textAlignment w:val="auto"/>
        <w:rPr>
          <w:rFonts w:eastAsia="仿宋_GB2312"/>
          <w:sz w:val="32"/>
          <w:szCs w:val="32"/>
        </w:rPr>
      </w:pPr>
      <w:r>
        <w:rPr>
          <w:rFonts w:eastAsia="黑体"/>
          <w:bCs/>
          <w:sz w:val="32"/>
          <w:szCs w:val="32"/>
        </w:rPr>
        <w:t>第十二条</w:t>
      </w:r>
      <w:r>
        <w:rPr>
          <w:rFonts w:eastAsia="仿宋_GB2312"/>
          <w:b/>
          <w:sz w:val="32"/>
          <w:szCs w:val="32"/>
        </w:rPr>
        <w:t xml:space="preserve">  </w:t>
      </w:r>
      <w:r>
        <w:rPr>
          <w:rFonts w:eastAsia="仿宋_GB2312"/>
          <w:sz w:val="32"/>
          <w:szCs w:val="32"/>
        </w:rPr>
        <w:t>按照行政管理权限，生态保护红线分为省级生态保护红线和市县级生态保护红线。</w:t>
      </w:r>
    </w:p>
    <w:p>
      <w:pPr>
        <w:keepNext w:val="0"/>
        <w:keepLines w:val="0"/>
        <w:pageBreakBefore w:val="0"/>
        <w:kinsoku/>
        <w:wordWrap/>
        <w:overflowPunct/>
        <w:topLinePunct w:val="0"/>
        <w:bidi w:val="0"/>
        <w:spacing w:line="579" w:lineRule="exact"/>
        <w:ind w:left="0" w:leftChars="0" w:right="0" w:rightChars="0" w:firstLine="640" w:firstLineChars="200"/>
        <w:textAlignment w:val="auto"/>
        <w:rPr>
          <w:rFonts w:ascii="仿宋_GB2312" w:eastAsia="仿宋_GB2312"/>
          <w:sz w:val="32"/>
          <w:szCs w:val="32"/>
        </w:rPr>
      </w:pPr>
      <w:r>
        <w:rPr>
          <w:rFonts w:hint="eastAsia" w:ascii="仿宋_GB2312" w:eastAsia="仿宋_GB2312"/>
          <w:b/>
          <w:vanish/>
          <w:sz w:val="32"/>
          <w:szCs w:val="32"/>
        </w:rPr>
        <w:pgNum/>
      </w:r>
      <w:r>
        <w:rPr>
          <w:rFonts w:hint="eastAsia" w:ascii="仿宋_GB2312" w:eastAsia="仿宋_GB2312"/>
          <w:b/>
          <w:vanish/>
          <w:sz w:val="32"/>
          <w:szCs w:val="32"/>
        </w:rPr>
        <w:pgNum/>
      </w:r>
      <w:r>
        <w:rPr>
          <w:rFonts w:hint="eastAsia" w:ascii="仿宋_GB2312" w:eastAsia="仿宋_GB2312"/>
          <w:b/>
          <w:vanish/>
          <w:sz w:val="32"/>
          <w:szCs w:val="32"/>
        </w:rPr>
        <w:pgNum/>
      </w:r>
      <w:r>
        <w:rPr>
          <w:rFonts w:hint="eastAsia" w:ascii="仿宋_GB2312" w:eastAsia="仿宋_GB2312"/>
          <w:b/>
          <w:vanish/>
          <w:sz w:val="32"/>
          <w:szCs w:val="32"/>
        </w:rPr>
        <w:pgNum/>
      </w:r>
      <w:r>
        <w:rPr>
          <w:rFonts w:hint="eastAsia" w:ascii="仿宋_GB2312" w:eastAsia="仿宋_GB2312"/>
          <w:sz w:val="32"/>
          <w:szCs w:val="32"/>
        </w:rPr>
        <w:t>省人民政府环境保护主管部门应当会同海洋、国土资源、住房和城乡建设、发展和改革、林业、水务等有关主管部门根据国家生态保护红线划定技术规范，划定省级陆地生态保护红线，经征求市、县、自治县人民政府和农垦意见后，报省人民政府批准，纳入海南省总体规划。</w:t>
      </w:r>
    </w:p>
    <w:p>
      <w:pPr>
        <w:keepNext w:val="0"/>
        <w:keepLines w:val="0"/>
        <w:pageBreakBefore w:val="0"/>
        <w:kinsoku/>
        <w:wordWrap/>
        <w:overflowPunct/>
        <w:topLinePunct w:val="0"/>
        <w:bidi w:val="0"/>
        <w:spacing w:line="579" w:lineRule="exact"/>
        <w:ind w:left="0" w:leftChars="0" w:right="0" w:rightChars="0" w:firstLine="640" w:firstLineChars="200"/>
        <w:textAlignment w:val="auto"/>
        <w:rPr>
          <w:rFonts w:ascii="仿宋_GB2312" w:eastAsia="仿宋_GB2312"/>
          <w:sz w:val="32"/>
          <w:szCs w:val="32"/>
        </w:rPr>
      </w:pPr>
      <w:r>
        <w:rPr>
          <w:rFonts w:hint="eastAsia" w:ascii="仿宋_GB2312" w:eastAsia="仿宋_GB2312"/>
          <w:sz w:val="32"/>
          <w:szCs w:val="32"/>
        </w:rPr>
        <w:t>省人民政府海洋主管部门应当会同环境保护、国土资源、住房和城乡建设、发展和改革、林业、水务等有关主管部门根据国家生态保护红线划定技术规范，划定省级海洋生态保护红线，经征求沿海市、县、自治县人民政府意见后，报省人民政府批准，纳入海南省总体规划。</w:t>
      </w:r>
    </w:p>
    <w:p>
      <w:pPr>
        <w:keepNext w:val="0"/>
        <w:keepLines w:val="0"/>
        <w:pageBreakBefore w:val="0"/>
        <w:kinsoku/>
        <w:wordWrap/>
        <w:overflowPunct/>
        <w:topLinePunct w:val="0"/>
        <w:bidi w:val="0"/>
        <w:spacing w:line="579" w:lineRule="exact"/>
        <w:ind w:left="0" w:leftChars="0" w:right="0" w:rightChars="0" w:firstLine="640" w:firstLineChars="200"/>
        <w:textAlignment w:val="auto"/>
        <w:rPr>
          <w:rFonts w:ascii="仿宋_GB2312" w:eastAsia="仿宋_GB2312"/>
          <w:sz w:val="32"/>
          <w:szCs w:val="32"/>
        </w:rPr>
      </w:pPr>
      <w:r>
        <w:rPr>
          <w:rFonts w:hint="eastAsia" w:ascii="仿宋_GB2312" w:eastAsia="仿宋_GB2312"/>
          <w:sz w:val="32"/>
          <w:szCs w:val="32"/>
        </w:rPr>
        <w:t>省人民政府应当向社会公布省级生态保护红线的具体范围和坐标，</w:t>
      </w:r>
      <w:r>
        <w:rPr>
          <w:rFonts w:hint="eastAsia" w:ascii="仿宋_GB2312" w:hAnsi="黑体" w:eastAsia="仿宋_GB2312"/>
          <w:sz w:val="32"/>
          <w:szCs w:val="32"/>
        </w:rPr>
        <w:t>但依法应当保密的除外</w:t>
      </w:r>
      <w:r>
        <w:rPr>
          <w:rFonts w:hint="eastAsia" w:ascii="仿宋_GB2312" w:eastAsia="仿宋_GB2312"/>
          <w:sz w:val="32"/>
          <w:szCs w:val="32"/>
        </w:rPr>
        <w:t>。</w:t>
      </w:r>
    </w:p>
    <w:p>
      <w:pPr>
        <w:keepNext w:val="0"/>
        <w:keepLines w:val="0"/>
        <w:pageBreakBefore w:val="0"/>
        <w:kinsoku/>
        <w:wordWrap/>
        <w:overflowPunct/>
        <w:topLinePunct w:val="0"/>
        <w:bidi w:val="0"/>
        <w:spacing w:line="579" w:lineRule="exact"/>
        <w:ind w:left="0" w:leftChars="0" w:right="0" w:rightChars="0" w:firstLine="640" w:firstLineChars="200"/>
        <w:textAlignment w:val="auto"/>
        <w:rPr>
          <w:rFonts w:ascii="仿宋_GB2312" w:eastAsia="仿宋_GB2312"/>
          <w:sz w:val="32"/>
          <w:szCs w:val="32"/>
        </w:rPr>
      </w:pPr>
      <w:r>
        <w:rPr>
          <w:rFonts w:eastAsia="黑体"/>
          <w:bCs/>
          <w:sz w:val="32"/>
          <w:szCs w:val="32"/>
        </w:rPr>
        <w:t>第十三条</w:t>
      </w:r>
      <w:r>
        <w:rPr>
          <w:rFonts w:eastAsia="仿宋_GB2312"/>
          <w:b/>
          <w:sz w:val="32"/>
          <w:szCs w:val="32"/>
        </w:rPr>
        <w:t xml:space="preserve">  </w:t>
      </w:r>
      <w:r>
        <w:rPr>
          <w:rFonts w:hint="eastAsia" w:ascii="仿宋_GB2312" w:eastAsia="仿宋_GB2312"/>
          <w:sz w:val="32"/>
          <w:szCs w:val="32"/>
        </w:rPr>
        <w:t>市、县、自治县人民政府环境保护主管部门应当会同海洋、规划、国土资源、住房和城乡建设、发展和改革、林业、水务等有关主管部门，根据国家和本省生态保护红线划定技术规范，划定市县级陆地生态保护红线，经省人民政府环境保护主管部门审查同意后，报市、县、自治县人民政府批准，纳入市、县、自治县总体规划。</w:t>
      </w:r>
    </w:p>
    <w:p>
      <w:pPr>
        <w:keepNext w:val="0"/>
        <w:keepLines w:val="0"/>
        <w:pageBreakBefore w:val="0"/>
        <w:kinsoku/>
        <w:wordWrap/>
        <w:overflowPunct/>
        <w:topLinePunct w:val="0"/>
        <w:bidi w:val="0"/>
        <w:spacing w:line="579" w:lineRule="exact"/>
        <w:ind w:left="0" w:leftChars="0" w:right="0" w:rightChars="0" w:firstLine="640" w:firstLineChars="200"/>
        <w:textAlignment w:val="auto"/>
        <w:rPr>
          <w:rFonts w:ascii="仿宋_GB2312" w:eastAsia="仿宋_GB2312"/>
          <w:sz w:val="32"/>
          <w:szCs w:val="32"/>
        </w:rPr>
      </w:pPr>
      <w:r>
        <w:rPr>
          <w:rFonts w:hint="eastAsia" w:ascii="仿宋_GB2312" w:eastAsia="仿宋_GB2312"/>
          <w:sz w:val="32"/>
          <w:szCs w:val="32"/>
        </w:rPr>
        <w:t>沿海市、县、自治县人民政府海洋主管部门应当会同环境保护、规划、国土资源、住房和城乡建设、发展和改革、林业、水务等有关主管部门，根据国家和本省生态保护红线划定技术规范，划定市县级海洋生态保护红线，经省人民政府海洋主管部门审查同意后，报市、县、自治县人民政府批准，纳入市、县、自治县总体规划。</w:t>
      </w:r>
    </w:p>
    <w:p>
      <w:pPr>
        <w:keepNext w:val="0"/>
        <w:keepLines w:val="0"/>
        <w:pageBreakBefore w:val="0"/>
        <w:kinsoku/>
        <w:wordWrap/>
        <w:overflowPunct/>
        <w:topLinePunct w:val="0"/>
        <w:bidi w:val="0"/>
        <w:spacing w:line="579" w:lineRule="exact"/>
        <w:ind w:left="0" w:leftChars="0" w:right="0" w:rightChars="0" w:firstLine="640" w:firstLineChars="200"/>
        <w:textAlignment w:val="auto"/>
        <w:rPr>
          <w:rFonts w:ascii="仿宋_GB2312" w:eastAsia="仿宋_GB2312"/>
          <w:sz w:val="32"/>
          <w:szCs w:val="32"/>
        </w:rPr>
      </w:pPr>
      <w:r>
        <w:rPr>
          <w:rFonts w:hint="eastAsia" w:ascii="仿宋_GB2312" w:eastAsia="仿宋_GB2312"/>
          <w:sz w:val="32"/>
          <w:szCs w:val="32"/>
        </w:rPr>
        <w:t>市、县、自治县人民政府应当向社会公布市县级生态保护红线的具体范围和坐标，</w:t>
      </w:r>
      <w:r>
        <w:rPr>
          <w:rFonts w:hint="eastAsia" w:ascii="仿宋_GB2312" w:hAnsi="黑体" w:eastAsia="仿宋_GB2312"/>
          <w:sz w:val="32"/>
          <w:szCs w:val="32"/>
        </w:rPr>
        <w:t>但依法应当保密的除外</w:t>
      </w:r>
      <w:r>
        <w:rPr>
          <w:rFonts w:hint="eastAsia" w:ascii="仿宋_GB2312" w:eastAsia="仿宋_GB2312"/>
          <w:sz w:val="32"/>
          <w:szCs w:val="32"/>
        </w:rPr>
        <w:t>。</w:t>
      </w:r>
    </w:p>
    <w:p>
      <w:pPr>
        <w:keepNext w:val="0"/>
        <w:keepLines w:val="0"/>
        <w:pageBreakBefore w:val="0"/>
        <w:kinsoku/>
        <w:wordWrap/>
        <w:overflowPunct/>
        <w:topLinePunct w:val="0"/>
        <w:bidi w:val="0"/>
        <w:spacing w:line="579" w:lineRule="exact"/>
        <w:ind w:left="0" w:leftChars="0" w:right="0" w:rightChars="0" w:firstLine="640" w:firstLineChars="200"/>
        <w:textAlignment w:val="auto"/>
        <w:rPr>
          <w:rFonts w:ascii="仿宋_GB2312" w:eastAsia="仿宋_GB2312"/>
          <w:sz w:val="32"/>
          <w:szCs w:val="32"/>
        </w:rPr>
      </w:pPr>
      <w:r>
        <w:rPr>
          <w:rFonts w:hint="eastAsia" w:ascii="仿宋_GB2312" w:eastAsia="仿宋_GB2312"/>
          <w:sz w:val="32"/>
          <w:szCs w:val="32"/>
        </w:rPr>
        <w:t>本省生态保护红线划定技术规范由省人民政府环境保护、海洋主管部门会同有关部门另行制定。</w:t>
      </w:r>
    </w:p>
    <w:p>
      <w:pPr>
        <w:keepNext w:val="0"/>
        <w:keepLines w:val="0"/>
        <w:pageBreakBefore w:val="0"/>
        <w:kinsoku/>
        <w:wordWrap/>
        <w:overflowPunct/>
        <w:topLinePunct w:val="0"/>
        <w:bidi w:val="0"/>
        <w:spacing w:line="579" w:lineRule="exact"/>
        <w:ind w:left="0" w:leftChars="0" w:right="0" w:rightChars="0" w:firstLine="640" w:firstLineChars="200"/>
        <w:textAlignment w:val="auto"/>
        <w:rPr>
          <w:rFonts w:eastAsia="仿宋_GB2312"/>
          <w:sz w:val="32"/>
          <w:szCs w:val="32"/>
        </w:rPr>
      </w:pPr>
      <w:r>
        <w:rPr>
          <w:rFonts w:eastAsia="黑体"/>
          <w:bCs/>
          <w:sz w:val="32"/>
          <w:szCs w:val="32"/>
        </w:rPr>
        <w:t xml:space="preserve">第十四条  </w:t>
      </w:r>
      <w:r>
        <w:rPr>
          <w:rFonts w:eastAsia="仿宋_GB2312"/>
          <w:sz w:val="32"/>
          <w:szCs w:val="32"/>
        </w:rPr>
        <w:t>市县级生态保护红线应当以省级生态保护红线确定的保护范围为依据，将对本行政区域生态安全具有重要影响的重点生态功能区、生态环境敏感区和脆弱区等区域划入生态保护红线。</w:t>
      </w:r>
    </w:p>
    <w:p>
      <w:pPr>
        <w:keepNext w:val="0"/>
        <w:keepLines w:val="0"/>
        <w:pageBreakBefore w:val="0"/>
        <w:kinsoku/>
        <w:wordWrap/>
        <w:overflowPunct/>
        <w:topLinePunct w:val="0"/>
        <w:bidi w:val="0"/>
        <w:spacing w:line="579" w:lineRule="exact"/>
        <w:ind w:left="0" w:leftChars="0" w:right="0" w:rightChars="0" w:firstLine="640" w:firstLineChars="200"/>
        <w:textAlignment w:val="auto"/>
        <w:rPr>
          <w:rFonts w:ascii="仿宋_GB2312" w:eastAsia="仿宋_GB2312"/>
          <w:sz w:val="32"/>
          <w:szCs w:val="32"/>
        </w:rPr>
      </w:pPr>
      <w:r>
        <w:rPr>
          <w:rFonts w:eastAsia="黑体"/>
          <w:sz w:val="32"/>
          <w:szCs w:val="32"/>
        </w:rPr>
        <w:t xml:space="preserve">第十五条  </w:t>
      </w:r>
      <w:r>
        <w:rPr>
          <w:rFonts w:hint="eastAsia" w:ascii="仿宋_GB2312" w:eastAsia="仿宋_GB2312"/>
          <w:sz w:val="32"/>
          <w:szCs w:val="32"/>
        </w:rPr>
        <w:t>省和市、县、自治县人民政府环境保护、海洋主管部门在划定生态保护红线时，应当采取向社会公布划定方案、论证会或者听证会等多种形式听取各方面意见。</w:t>
      </w:r>
    </w:p>
    <w:p>
      <w:pPr>
        <w:keepNext w:val="0"/>
        <w:keepLines w:val="0"/>
        <w:pageBreakBefore w:val="0"/>
        <w:kinsoku/>
        <w:wordWrap/>
        <w:overflowPunct/>
        <w:topLinePunct w:val="0"/>
        <w:bidi w:val="0"/>
        <w:spacing w:line="579" w:lineRule="exact"/>
        <w:ind w:left="0" w:leftChars="0" w:right="0" w:rightChars="0" w:firstLine="640" w:firstLineChars="200"/>
        <w:textAlignment w:val="auto"/>
        <w:rPr>
          <w:rFonts w:eastAsia="仿宋_GB2312"/>
          <w:snapToGrid w:val="0"/>
          <w:kern w:val="0"/>
          <w:sz w:val="32"/>
          <w:szCs w:val="32"/>
        </w:rPr>
      </w:pPr>
      <w:r>
        <w:rPr>
          <w:rFonts w:eastAsia="黑体"/>
          <w:bCs/>
          <w:sz w:val="32"/>
          <w:szCs w:val="32"/>
        </w:rPr>
        <w:t>第十六条</w:t>
      </w:r>
      <w:r>
        <w:rPr>
          <w:rFonts w:eastAsia="仿宋_GB2312"/>
          <w:b/>
          <w:snapToGrid w:val="0"/>
          <w:kern w:val="0"/>
          <w:sz w:val="32"/>
          <w:szCs w:val="32"/>
        </w:rPr>
        <w:t xml:space="preserve">  </w:t>
      </w:r>
      <w:r>
        <w:rPr>
          <w:rFonts w:eastAsia="仿宋_GB2312"/>
          <w:snapToGrid w:val="0"/>
          <w:kern w:val="0"/>
          <w:sz w:val="32"/>
          <w:szCs w:val="32"/>
        </w:rPr>
        <w:t>市、县、自治县人民政府应当对本行政区域内的生态保护红线设立地理界标和宣传牌，并在显著位置设立警示标志。</w:t>
      </w:r>
    </w:p>
    <w:p>
      <w:pPr>
        <w:keepNext w:val="0"/>
        <w:keepLines w:val="0"/>
        <w:pageBreakBefore w:val="0"/>
        <w:kinsoku/>
        <w:wordWrap/>
        <w:overflowPunct/>
        <w:topLinePunct w:val="0"/>
        <w:bidi w:val="0"/>
        <w:spacing w:line="579" w:lineRule="exact"/>
        <w:ind w:left="0" w:leftChars="0" w:right="0" w:rightChars="0" w:firstLine="640" w:firstLineChars="200"/>
        <w:textAlignment w:val="auto"/>
        <w:rPr>
          <w:rFonts w:ascii="仿宋_GB2312" w:eastAsia="仿宋_GB2312"/>
          <w:snapToGrid w:val="0"/>
          <w:kern w:val="0"/>
          <w:sz w:val="32"/>
          <w:szCs w:val="32"/>
        </w:rPr>
      </w:pPr>
      <w:r>
        <w:rPr>
          <w:rFonts w:hint="eastAsia" w:ascii="仿宋_GB2312" w:eastAsia="仿宋_GB2312"/>
          <w:snapToGrid w:val="0"/>
          <w:kern w:val="0"/>
          <w:sz w:val="32"/>
          <w:szCs w:val="32"/>
        </w:rPr>
        <w:t>任何单位和个人不得破坏或者擅自移动生态保护红线地理界标、宣传牌和警示标志。</w:t>
      </w:r>
    </w:p>
    <w:p>
      <w:pPr>
        <w:keepNext w:val="0"/>
        <w:keepLines w:val="0"/>
        <w:pageBreakBefore w:val="0"/>
        <w:kinsoku/>
        <w:wordWrap/>
        <w:overflowPunct/>
        <w:topLinePunct w:val="0"/>
        <w:bidi w:val="0"/>
        <w:spacing w:line="579" w:lineRule="exact"/>
        <w:ind w:left="0" w:leftChars="0" w:right="0" w:rightChars="0" w:firstLine="640" w:firstLineChars="200"/>
        <w:textAlignment w:val="auto"/>
        <w:rPr>
          <w:rFonts w:ascii="仿宋_GB2312" w:eastAsia="仿宋_GB2312"/>
          <w:snapToGrid w:val="0"/>
          <w:kern w:val="0"/>
          <w:sz w:val="32"/>
          <w:szCs w:val="32"/>
        </w:rPr>
      </w:pPr>
      <w:r>
        <w:rPr>
          <w:rFonts w:eastAsia="黑体"/>
          <w:bCs/>
          <w:sz w:val="32"/>
          <w:szCs w:val="32"/>
        </w:rPr>
        <w:t>第十七条</w:t>
      </w:r>
      <w:r>
        <w:rPr>
          <w:rFonts w:eastAsia="仿宋_GB2312"/>
          <w:snapToGrid w:val="0"/>
          <w:kern w:val="0"/>
          <w:sz w:val="32"/>
          <w:szCs w:val="32"/>
        </w:rPr>
        <w:t xml:space="preserve">  </w:t>
      </w:r>
      <w:r>
        <w:rPr>
          <w:rFonts w:hint="eastAsia" w:ascii="仿宋_GB2312" w:eastAsia="仿宋_GB2312"/>
          <w:snapToGrid w:val="0"/>
          <w:kern w:val="0"/>
          <w:sz w:val="32"/>
          <w:szCs w:val="32"/>
        </w:rPr>
        <w:t>县级以上人民政府应当至少每五年组织一次对本行政区域生态保护红线保护与管理情况的评估，经评估确需调整的，应当依法予以调整，确保生态保护红线区面积不减少，生态服务功能不弱化，环境质量不降低。</w:t>
      </w:r>
    </w:p>
    <w:p>
      <w:pPr>
        <w:keepNext w:val="0"/>
        <w:keepLines w:val="0"/>
        <w:pageBreakBefore w:val="0"/>
        <w:kinsoku/>
        <w:wordWrap/>
        <w:overflowPunct/>
        <w:topLinePunct w:val="0"/>
        <w:bidi w:val="0"/>
        <w:spacing w:line="579" w:lineRule="exact"/>
        <w:ind w:left="0" w:leftChars="0" w:right="0" w:rightChars="0" w:firstLine="640" w:firstLineChars="200"/>
        <w:textAlignment w:val="auto"/>
        <w:rPr>
          <w:rFonts w:ascii="仿宋_GB2312" w:eastAsia="仿宋_GB2312"/>
          <w:sz w:val="32"/>
          <w:szCs w:val="32"/>
        </w:rPr>
      </w:pPr>
      <w:r>
        <w:rPr>
          <w:rFonts w:hint="eastAsia" w:ascii="仿宋_GB2312" w:eastAsia="仿宋_GB2312"/>
          <w:sz w:val="32"/>
          <w:szCs w:val="32"/>
        </w:rPr>
        <w:t>生态保护红线评估调整具体办法，由省人民政府环境保护、海洋主管部门会同有关部门制定。</w:t>
      </w:r>
    </w:p>
    <w:p>
      <w:pPr>
        <w:keepNext w:val="0"/>
        <w:keepLines w:val="0"/>
        <w:pageBreakBefore w:val="0"/>
        <w:kinsoku/>
        <w:wordWrap/>
        <w:overflowPunct/>
        <w:topLinePunct w:val="0"/>
        <w:bidi w:val="0"/>
        <w:spacing w:line="579" w:lineRule="exact"/>
        <w:ind w:left="0" w:leftChars="0" w:right="0" w:rightChars="0" w:firstLine="640" w:firstLineChars="200"/>
        <w:textAlignment w:val="auto"/>
        <w:rPr>
          <w:rFonts w:eastAsia="仿宋_GB2312"/>
          <w:sz w:val="32"/>
          <w:szCs w:val="32"/>
        </w:rPr>
      </w:pPr>
      <w:r>
        <w:rPr>
          <w:rFonts w:eastAsia="黑体"/>
          <w:bCs/>
          <w:sz w:val="32"/>
          <w:szCs w:val="32"/>
        </w:rPr>
        <w:t>第十八条</w:t>
      </w:r>
      <w:r>
        <w:rPr>
          <w:rFonts w:eastAsia="仿宋_GB2312"/>
          <w:b/>
          <w:sz w:val="32"/>
          <w:szCs w:val="32"/>
        </w:rPr>
        <w:t xml:space="preserve">  </w:t>
      </w:r>
      <w:r>
        <w:rPr>
          <w:rFonts w:eastAsia="仿宋_GB2312"/>
          <w:sz w:val="32"/>
          <w:szCs w:val="32"/>
        </w:rPr>
        <w:t>经批准的生态保护红线，不得擅自调整。有下列情形之一，需要调整的，由生态保护红线划定部门按照划定的程序对本级生态保护红线进行调整，并报原批准机关批准：</w:t>
      </w:r>
    </w:p>
    <w:p>
      <w:pPr>
        <w:keepNext w:val="0"/>
        <w:keepLines w:val="0"/>
        <w:pageBreakBefore w:val="0"/>
        <w:kinsoku/>
        <w:wordWrap/>
        <w:overflowPunct/>
        <w:topLinePunct w:val="0"/>
        <w:bidi w:val="0"/>
        <w:spacing w:line="579" w:lineRule="exact"/>
        <w:ind w:left="0" w:leftChars="0" w:right="0" w:rightChars="0" w:firstLine="640" w:firstLineChars="200"/>
        <w:textAlignment w:val="auto"/>
        <w:rPr>
          <w:rFonts w:eastAsia="仿宋_GB2312"/>
          <w:sz w:val="32"/>
          <w:szCs w:val="32"/>
        </w:rPr>
      </w:pPr>
      <w:r>
        <w:rPr>
          <w:rFonts w:eastAsia="仿宋_GB2312"/>
          <w:sz w:val="32"/>
          <w:szCs w:val="32"/>
        </w:rPr>
        <w:t>（一）依法新设或者调整自然保护区、饮用水水源保护区、海洋特别保护区等各类法定保护区域的；</w:t>
      </w:r>
    </w:p>
    <w:p>
      <w:pPr>
        <w:keepNext w:val="0"/>
        <w:keepLines w:val="0"/>
        <w:pageBreakBefore w:val="0"/>
        <w:kinsoku/>
        <w:wordWrap/>
        <w:overflowPunct/>
        <w:topLinePunct w:val="0"/>
        <w:bidi w:val="0"/>
        <w:spacing w:line="579" w:lineRule="exact"/>
        <w:ind w:left="0" w:leftChars="0" w:right="0" w:rightChars="0" w:firstLine="640" w:firstLineChars="200"/>
        <w:textAlignment w:val="auto"/>
        <w:rPr>
          <w:rFonts w:eastAsia="仿宋_GB2312"/>
          <w:sz w:val="32"/>
          <w:szCs w:val="32"/>
        </w:rPr>
      </w:pPr>
      <w:r>
        <w:rPr>
          <w:rFonts w:eastAsia="仿宋_GB2312"/>
          <w:sz w:val="32"/>
          <w:szCs w:val="32"/>
        </w:rPr>
        <w:t>（二）上一级生态保护红线依法调整的；</w:t>
      </w:r>
    </w:p>
    <w:p>
      <w:pPr>
        <w:keepNext w:val="0"/>
        <w:keepLines w:val="0"/>
        <w:pageBreakBefore w:val="0"/>
        <w:kinsoku/>
        <w:wordWrap/>
        <w:overflowPunct/>
        <w:topLinePunct w:val="0"/>
        <w:bidi w:val="0"/>
        <w:spacing w:line="579" w:lineRule="exact"/>
        <w:ind w:left="0" w:leftChars="0" w:right="0" w:rightChars="0" w:firstLine="640" w:firstLineChars="200"/>
        <w:textAlignment w:val="auto"/>
        <w:rPr>
          <w:rFonts w:eastAsia="仿宋_GB2312"/>
          <w:sz w:val="32"/>
          <w:szCs w:val="32"/>
        </w:rPr>
      </w:pPr>
      <w:r>
        <w:rPr>
          <w:rFonts w:eastAsia="仿宋_GB2312"/>
          <w:sz w:val="32"/>
          <w:szCs w:val="32"/>
        </w:rPr>
        <w:t>（三）按照本规定经评估确需调整</w:t>
      </w:r>
      <w:r>
        <w:rPr>
          <w:rFonts w:hint="eastAsia" w:eastAsia="仿宋_GB2312"/>
          <w:sz w:val="32"/>
          <w:szCs w:val="32"/>
        </w:rPr>
        <w:t>的</w:t>
      </w:r>
      <w:r>
        <w:rPr>
          <w:rFonts w:eastAsia="仿宋_GB2312"/>
          <w:sz w:val="32"/>
          <w:szCs w:val="32"/>
        </w:rPr>
        <w:t>。</w:t>
      </w:r>
    </w:p>
    <w:p>
      <w:pPr>
        <w:keepNext w:val="0"/>
        <w:keepLines w:val="0"/>
        <w:pageBreakBefore w:val="0"/>
        <w:kinsoku/>
        <w:wordWrap/>
        <w:overflowPunct/>
        <w:topLinePunct w:val="0"/>
        <w:bidi w:val="0"/>
        <w:spacing w:line="579" w:lineRule="exact"/>
        <w:ind w:left="0" w:leftChars="0" w:right="0" w:rightChars="0" w:firstLine="640" w:firstLineChars="200"/>
        <w:textAlignment w:val="auto"/>
        <w:rPr>
          <w:rFonts w:ascii="仿宋_GB2312" w:eastAsia="仿宋_GB2312"/>
          <w:b/>
          <w:sz w:val="32"/>
          <w:szCs w:val="32"/>
        </w:rPr>
      </w:pPr>
      <w:r>
        <w:rPr>
          <w:rFonts w:eastAsia="黑体"/>
          <w:bCs/>
          <w:sz w:val="32"/>
          <w:szCs w:val="32"/>
        </w:rPr>
        <w:t>第十九条</w:t>
      </w:r>
      <w:r>
        <w:rPr>
          <w:rFonts w:eastAsia="仿宋_GB2312"/>
          <w:b/>
          <w:sz w:val="32"/>
          <w:szCs w:val="32"/>
        </w:rPr>
        <w:t xml:space="preserve">  </w:t>
      </w:r>
      <w:r>
        <w:rPr>
          <w:rFonts w:hint="eastAsia" w:ascii="仿宋_GB2312" w:eastAsia="仿宋_GB2312"/>
          <w:sz w:val="32"/>
          <w:szCs w:val="32"/>
        </w:rPr>
        <w:t>除下列情形外,Ⅰ类生态保护红线区内禁止各类开发建设活动：</w:t>
      </w:r>
    </w:p>
    <w:p>
      <w:pPr>
        <w:keepNext w:val="0"/>
        <w:keepLines w:val="0"/>
        <w:pageBreakBefore w:val="0"/>
        <w:kinsoku/>
        <w:wordWrap/>
        <w:overflowPunct/>
        <w:topLinePunct w:val="0"/>
        <w:bidi w:val="0"/>
        <w:spacing w:line="579" w:lineRule="exact"/>
        <w:ind w:left="0" w:leftChars="0" w:right="0" w:rightChars="0" w:firstLine="640" w:firstLineChars="200"/>
        <w:textAlignment w:val="auto"/>
        <w:rPr>
          <w:rFonts w:ascii="仿宋_GB2312" w:eastAsia="仿宋_GB2312"/>
          <w:sz w:val="32"/>
          <w:szCs w:val="32"/>
        </w:rPr>
      </w:pPr>
      <w:r>
        <w:rPr>
          <w:rFonts w:hint="eastAsia" w:ascii="仿宋_GB2312" w:eastAsia="仿宋_GB2312"/>
          <w:sz w:val="32"/>
          <w:szCs w:val="32"/>
        </w:rPr>
        <w:t>（一）经依法批准的国家和省重大基础设施、重大民生项目、生态保护与修复类项目建设；</w:t>
      </w:r>
    </w:p>
    <w:p>
      <w:pPr>
        <w:keepNext w:val="0"/>
        <w:keepLines w:val="0"/>
        <w:pageBreakBefore w:val="0"/>
        <w:kinsoku/>
        <w:wordWrap/>
        <w:overflowPunct/>
        <w:topLinePunct w:val="0"/>
        <w:bidi w:val="0"/>
        <w:spacing w:line="579" w:lineRule="exact"/>
        <w:ind w:left="0" w:leftChars="0" w:right="0" w:rightChars="0" w:firstLine="640" w:firstLineChars="200"/>
        <w:textAlignment w:val="auto"/>
        <w:rPr>
          <w:rFonts w:ascii="仿宋_GB2312" w:eastAsia="仿宋_GB2312"/>
          <w:sz w:val="32"/>
          <w:szCs w:val="32"/>
        </w:rPr>
      </w:pPr>
      <w:r>
        <w:rPr>
          <w:rFonts w:hint="eastAsia" w:ascii="仿宋_GB2312" w:eastAsia="仿宋_GB2312"/>
          <w:sz w:val="32"/>
          <w:szCs w:val="32"/>
        </w:rPr>
        <w:t>（二）农村居民生活点、农（林）场场部（队）及其居民在不扩大现有用地规模前提下进行生产生活设施改造。</w:t>
      </w:r>
    </w:p>
    <w:p>
      <w:pPr>
        <w:keepNext w:val="0"/>
        <w:keepLines w:val="0"/>
        <w:pageBreakBefore w:val="0"/>
        <w:kinsoku/>
        <w:wordWrap/>
        <w:overflowPunct/>
        <w:topLinePunct w:val="0"/>
        <w:bidi w:val="0"/>
        <w:spacing w:line="579" w:lineRule="exact"/>
        <w:ind w:left="0" w:leftChars="0" w:right="0" w:rightChars="0" w:firstLine="640" w:firstLineChars="200"/>
        <w:textAlignment w:val="auto"/>
        <w:rPr>
          <w:rFonts w:eastAsia="黑体"/>
          <w:sz w:val="32"/>
          <w:szCs w:val="32"/>
        </w:rPr>
      </w:pPr>
      <w:r>
        <w:rPr>
          <w:rFonts w:eastAsia="黑体"/>
          <w:bCs/>
          <w:sz w:val="32"/>
          <w:szCs w:val="32"/>
        </w:rPr>
        <w:t>第二十条</w:t>
      </w:r>
      <w:r>
        <w:rPr>
          <w:rFonts w:eastAsia="仿宋_GB2312"/>
          <w:b/>
          <w:sz w:val="32"/>
          <w:szCs w:val="32"/>
        </w:rPr>
        <w:t xml:space="preserve">  </w:t>
      </w:r>
      <w:r>
        <w:rPr>
          <w:rFonts w:hint="eastAsia" w:ascii="宋体" w:hAnsi="宋体" w:cs="宋体"/>
          <w:sz w:val="32"/>
          <w:szCs w:val="32"/>
        </w:rPr>
        <w:t>Ⅱ</w:t>
      </w:r>
      <w:r>
        <w:rPr>
          <w:rFonts w:eastAsia="仿宋_GB2312"/>
          <w:sz w:val="32"/>
          <w:szCs w:val="32"/>
        </w:rPr>
        <w:t>类生态保护红线区内禁止工业、矿产资源开发、商品房建设、</w:t>
      </w:r>
      <w:r>
        <w:rPr>
          <w:rFonts w:eastAsia="仿宋_GB2312"/>
          <w:spacing w:val="-9"/>
          <w:sz w:val="32"/>
          <w:szCs w:val="32"/>
        </w:rPr>
        <w:t>规模化养殖及其它破坏生态和污染环境的建设项目。</w:t>
      </w:r>
    </w:p>
    <w:p>
      <w:pPr>
        <w:keepNext w:val="0"/>
        <w:keepLines w:val="0"/>
        <w:pageBreakBefore w:val="0"/>
        <w:kinsoku/>
        <w:wordWrap/>
        <w:overflowPunct/>
        <w:topLinePunct w:val="0"/>
        <w:bidi w:val="0"/>
        <w:spacing w:line="579" w:lineRule="exact"/>
        <w:ind w:left="0" w:leftChars="0" w:right="0" w:rightChars="0" w:firstLine="640" w:firstLineChars="200"/>
        <w:textAlignment w:val="auto"/>
        <w:rPr>
          <w:rFonts w:eastAsia="仿宋_GB2312"/>
          <w:sz w:val="32"/>
          <w:szCs w:val="32"/>
        </w:rPr>
      </w:pPr>
      <w:r>
        <w:rPr>
          <w:rFonts w:eastAsia="仿宋_GB2312"/>
          <w:sz w:val="32"/>
          <w:szCs w:val="32"/>
        </w:rPr>
        <w:t>确需在</w:t>
      </w:r>
      <w:r>
        <w:rPr>
          <w:rFonts w:hint="eastAsia" w:ascii="宋体" w:hAnsi="宋体" w:cs="宋体"/>
          <w:sz w:val="32"/>
          <w:szCs w:val="32"/>
        </w:rPr>
        <w:t>Ⅱ</w:t>
      </w:r>
      <w:r>
        <w:rPr>
          <w:rFonts w:eastAsia="仿宋_GB2312"/>
          <w:sz w:val="32"/>
          <w:szCs w:val="32"/>
        </w:rPr>
        <w:t>类生态保护红线区内进行下列开发建设活动的，应当符合省和市、县、自治县总体规划：</w:t>
      </w:r>
    </w:p>
    <w:p>
      <w:pPr>
        <w:keepNext w:val="0"/>
        <w:keepLines w:val="0"/>
        <w:pageBreakBefore w:val="0"/>
        <w:kinsoku/>
        <w:wordWrap/>
        <w:overflowPunct/>
        <w:topLinePunct w:val="0"/>
        <w:bidi w:val="0"/>
        <w:spacing w:line="579" w:lineRule="exact"/>
        <w:ind w:left="0" w:leftChars="0" w:right="0" w:rightChars="0" w:firstLine="640" w:firstLineChars="200"/>
        <w:textAlignment w:val="auto"/>
        <w:rPr>
          <w:rFonts w:eastAsia="仿宋_GB2312"/>
          <w:sz w:val="32"/>
          <w:szCs w:val="32"/>
        </w:rPr>
      </w:pPr>
      <w:r>
        <w:rPr>
          <w:rFonts w:eastAsia="仿宋_GB2312"/>
          <w:sz w:val="32"/>
          <w:szCs w:val="32"/>
        </w:rPr>
        <w:t xml:space="preserve">（一）经依法批准的国家和省重大基础设施、重大民生项目、生态保护与修复类项目建设； </w:t>
      </w:r>
    </w:p>
    <w:p>
      <w:pPr>
        <w:keepNext w:val="0"/>
        <w:keepLines w:val="0"/>
        <w:pageBreakBefore w:val="0"/>
        <w:kinsoku/>
        <w:wordWrap/>
        <w:overflowPunct/>
        <w:topLinePunct w:val="0"/>
        <w:bidi w:val="0"/>
        <w:spacing w:line="579" w:lineRule="exact"/>
        <w:ind w:left="0" w:leftChars="0" w:right="0" w:rightChars="0" w:firstLine="640" w:firstLineChars="200"/>
        <w:textAlignment w:val="auto"/>
        <w:rPr>
          <w:rFonts w:ascii="仿宋_GB2312" w:eastAsia="仿宋_GB2312"/>
          <w:sz w:val="32"/>
          <w:szCs w:val="32"/>
        </w:rPr>
      </w:pPr>
      <w:r>
        <w:rPr>
          <w:rFonts w:hint="eastAsia" w:ascii="仿宋_GB2312" w:eastAsia="仿宋_GB2312"/>
          <w:sz w:val="32"/>
          <w:szCs w:val="32"/>
        </w:rPr>
        <w:t>（二）湿地公园、地质公园、森林公园等经依法批准、不破坏生态环境和景观的配套旅游服务设施建设；</w:t>
      </w:r>
    </w:p>
    <w:p>
      <w:pPr>
        <w:keepNext w:val="0"/>
        <w:keepLines w:val="0"/>
        <w:pageBreakBefore w:val="0"/>
        <w:kinsoku/>
        <w:wordWrap/>
        <w:overflowPunct/>
        <w:topLinePunct w:val="0"/>
        <w:bidi w:val="0"/>
        <w:spacing w:line="579" w:lineRule="exact"/>
        <w:ind w:left="0" w:leftChars="0" w:right="0" w:rightChars="0" w:firstLine="640" w:firstLineChars="200"/>
        <w:textAlignment w:val="auto"/>
        <w:rPr>
          <w:rFonts w:ascii="仿宋_GB2312" w:eastAsia="仿宋_GB2312"/>
          <w:sz w:val="32"/>
          <w:szCs w:val="32"/>
        </w:rPr>
      </w:pPr>
      <w:r>
        <w:rPr>
          <w:rFonts w:hint="eastAsia" w:ascii="仿宋_GB2312" w:eastAsia="仿宋_GB2312"/>
          <w:sz w:val="32"/>
          <w:szCs w:val="32"/>
        </w:rPr>
        <w:t>（三）经依法批准的休闲农业、生态旅游项目及其配套设施建设；</w:t>
      </w:r>
    </w:p>
    <w:p>
      <w:pPr>
        <w:keepNext w:val="0"/>
        <w:keepLines w:val="0"/>
        <w:pageBreakBefore w:val="0"/>
        <w:kinsoku/>
        <w:wordWrap/>
        <w:overflowPunct/>
        <w:topLinePunct w:val="0"/>
        <w:bidi w:val="0"/>
        <w:spacing w:line="579" w:lineRule="exact"/>
        <w:ind w:left="0" w:leftChars="0" w:right="0" w:rightChars="0" w:firstLine="640" w:firstLineChars="200"/>
        <w:textAlignment w:val="auto"/>
        <w:rPr>
          <w:rFonts w:ascii="仿宋_GB2312" w:eastAsia="仿宋_GB2312"/>
          <w:sz w:val="32"/>
          <w:szCs w:val="32"/>
        </w:rPr>
      </w:pPr>
      <w:r>
        <w:rPr>
          <w:rFonts w:hint="eastAsia" w:ascii="仿宋_GB2312" w:eastAsia="仿宋_GB2312"/>
          <w:sz w:val="32"/>
          <w:szCs w:val="32"/>
        </w:rPr>
        <w:t>（四）经依法批准的河砂、</w:t>
      </w:r>
      <w:r>
        <w:rPr>
          <w:rFonts w:hint="eastAsia" w:ascii="仿宋_GB2312" w:hAnsi="黑体" w:eastAsia="仿宋_GB2312"/>
          <w:sz w:val="32"/>
          <w:szCs w:val="32"/>
        </w:rPr>
        <w:t>海砂开采</w:t>
      </w:r>
      <w:r>
        <w:rPr>
          <w:rFonts w:hint="eastAsia" w:ascii="仿宋_GB2312" w:eastAsia="仿宋_GB2312"/>
          <w:sz w:val="32"/>
          <w:szCs w:val="32"/>
        </w:rPr>
        <w:t>活动；</w:t>
      </w:r>
    </w:p>
    <w:p>
      <w:pPr>
        <w:keepNext w:val="0"/>
        <w:keepLines w:val="0"/>
        <w:pageBreakBefore w:val="0"/>
        <w:kinsoku/>
        <w:wordWrap/>
        <w:overflowPunct/>
        <w:topLinePunct w:val="0"/>
        <w:bidi w:val="0"/>
        <w:spacing w:line="579" w:lineRule="exact"/>
        <w:ind w:left="0" w:leftChars="0" w:right="0" w:rightChars="0" w:firstLine="640" w:firstLineChars="200"/>
        <w:textAlignment w:val="auto"/>
        <w:rPr>
          <w:rFonts w:ascii="仿宋_GB2312" w:eastAsia="仿宋_GB2312"/>
          <w:sz w:val="32"/>
          <w:szCs w:val="32"/>
        </w:rPr>
      </w:pPr>
      <w:r>
        <w:rPr>
          <w:rFonts w:hint="eastAsia" w:ascii="仿宋_GB2312" w:eastAsia="仿宋_GB2312"/>
          <w:sz w:val="32"/>
          <w:szCs w:val="32"/>
        </w:rPr>
        <w:t xml:space="preserve">（五）军事等特殊用途设施建设； </w:t>
      </w:r>
    </w:p>
    <w:p>
      <w:pPr>
        <w:keepNext w:val="0"/>
        <w:keepLines w:val="0"/>
        <w:pageBreakBefore w:val="0"/>
        <w:kinsoku/>
        <w:wordWrap/>
        <w:overflowPunct/>
        <w:topLinePunct w:val="0"/>
        <w:bidi w:val="0"/>
        <w:spacing w:line="579" w:lineRule="exact"/>
        <w:ind w:left="0" w:leftChars="0" w:right="0" w:rightChars="0" w:firstLine="640" w:firstLineChars="200"/>
        <w:textAlignment w:val="auto"/>
        <w:rPr>
          <w:rFonts w:ascii="仿宋_GB2312" w:eastAsia="仿宋_GB2312"/>
          <w:sz w:val="32"/>
          <w:szCs w:val="32"/>
        </w:rPr>
      </w:pPr>
      <w:r>
        <w:rPr>
          <w:rFonts w:hint="eastAsia" w:ascii="仿宋_GB2312" w:eastAsia="仿宋_GB2312"/>
          <w:sz w:val="32"/>
          <w:szCs w:val="32"/>
        </w:rPr>
        <w:t>（六）其他经依法批准，与生态环境保护要求不相抵触，资源消耗低、环境影响小的项目建设。</w:t>
      </w:r>
    </w:p>
    <w:p>
      <w:pPr>
        <w:keepNext w:val="0"/>
        <w:keepLines w:val="0"/>
        <w:pageBreakBefore w:val="0"/>
        <w:kinsoku/>
        <w:wordWrap/>
        <w:overflowPunct/>
        <w:topLinePunct w:val="0"/>
        <w:bidi w:val="0"/>
        <w:spacing w:line="579" w:lineRule="exact"/>
        <w:ind w:left="0" w:leftChars="0" w:right="0" w:rightChars="0" w:firstLine="640" w:firstLineChars="200"/>
        <w:textAlignment w:val="auto"/>
        <w:rPr>
          <w:rFonts w:ascii="仿宋_GB2312" w:eastAsia="仿宋_GB2312"/>
          <w:sz w:val="32"/>
          <w:szCs w:val="32"/>
        </w:rPr>
      </w:pPr>
      <w:r>
        <w:rPr>
          <w:rFonts w:eastAsia="黑体"/>
          <w:bCs/>
          <w:sz w:val="32"/>
          <w:szCs w:val="32"/>
        </w:rPr>
        <w:t>第二十一条</w:t>
      </w:r>
      <w:r>
        <w:rPr>
          <w:rFonts w:eastAsia="仿宋_GB2312"/>
          <w:b/>
          <w:sz w:val="32"/>
          <w:szCs w:val="32"/>
        </w:rPr>
        <w:t xml:space="preserve">  </w:t>
      </w:r>
      <w:r>
        <w:rPr>
          <w:rFonts w:hint="eastAsia" w:ascii="仿宋_GB2312" w:hAnsi="黑体" w:eastAsia="仿宋_GB2312"/>
          <w:sz w:val="32"/>
          <w:szCs w:val="32"/>
        </w:rPr>
        <w:t>生态保护红线区内的自然保护区、饮用水水源保护区等各类保护区域，相关保护规定与本规定不一致的，按照最严格的保护规定执行。</w:t>
      </w:r>
    </w:p>
    <w:p>
      <w:pPr>
        <w:keepNext w:val="0"/>
        <w:keepLines w:val="0"/>
        <w:pageBreakBefore w:val="0"/>
        <w:kinsoku/>
        <w:wordWrap/>
        <w:overflowPunct/>
        <w:topLinePunct w:val="0"/>
        <w:bidi w:val="0"/>
        <w:spacing w:line="579" w:lineRule="exact"/>
        <w:ind w:left="0" w:leftChars="0" w:right="0" w:rightChars="0" w:firstLine="640" w:firstLineChars="200"/>
        <w:textAlignment w:val="auto"/>
        <w:rPr>
          <w:rFonts w:ascii="仿宋_GB2312" w:eastAsia="仿宋_GB2312"/>
          <w:sz w:val="32"/>
          <w:szCs w:val="32"/>
        </w:rPr>
      </w:pPr>
      <w:r>
        <w:rPr>
          <w:rFonts w:eastAsia="黑体"/>
          <w:bCs/>
          <w:sz w:val="32"/>
          <w:szCs w:val="32"/>
        </w:rPr>
        <w:t>第二十二条</w:t>
      </w:r>
      <w:r>
        <w:rPr>
          <w:rFonts w:eastAsia="仿宋_GB2312"/>
          <w:b/>
          <w:sz w:val="32"/>
          <w:szCs w:val="32"/>
        </w:rPr>
        <w:t xml:space="preserve">  </w:t>
      </w:r>
      <w:r>
        <w:rPr>
          <w:rFonts w:hint="eastAsia" w:ascii="仿宋_GB2312" w:eastAsia="仿宋_GB2312"/>
          <w:sz w:val="32"/>
          <w:szCs w:val="32"/>
        </w:rPr>
        <w:t>本省</w:t>
      </w:r>
      <w:r>
        <w:rPr>
          <w:rFonts w:hint="eastAsia" w:ascii="仿宋_GB2312" w:eastAsia="仿宋_GB2312"/>
          <w:spacing w:val="-9"/>
          <w:sz w:val="32"/>
          <w:szCs w:val="32"/>
        </w:rPr>
        <w:t>生态保护红线区内的开发建设实行目录管理。</w:t>
      </w:r>
    </w:p>
    <w:p>
      <w:pPr>
        <w:keepNext w:val="0"/>
        <w:keepLines w:val="0"/>
        <w:pageBreakBefore w:val="0"/>
        <w:kinsoku/>
        <w:wordWrap/>
        <w:overflowPunct/>
        <w:topLinePunct w:val="0"/>
        <w:bidi w:val="0"/>
        <w:spacing w:line="579" w:lineRule="exact"/>
        <w:ind w:left="0" w:leftChars="0" w:right="0" w:rightChars="0" w:firstLine="640" w:firstLineChars="200"/>
        <w:textAlignment w:val="auto"/>
        <w:rPr>
          <w:rFonts w:ascii="仿宋_GB2312" w:hAnsi="黑体" w:eastAsia="仿宋_GB2312"/>
          <w:sz w:val="32"/>
          <w:szCs w:val="32"/>
        </w:rPr>
      </w:pPr>
      <w:r>
        <w:rPr>
          <w:rFonts w:hint="eastAsia" w:ascii="仿宋_GB2312" w:eastAsia="仿宋_GB2312"/>
          <w:sz w:val="32"/>
          <w:szCs w:val="32"/>
        </w:rPr>
        <w:t>生态保护红线区开发建设管理目录由省人民政府环境保护、海洋主管部门会同相关主管部门和</w:t>
      </w:r>
      <w:r>
        <w:rPr>
          <w:rFonts w:hint="eastAsia" w:ascii="仿宋_GB2312" w:hAnsi="黑体" w:eastAsia="仿宋_GB2312"/>
          <w:sz w:val="32"/>
          <w:szCs w:val="32"/>
        </w:rPr>
        <w:t>市、县、自治县人民政府</w:t>
      </w:r>
      <w:r>
        <w:rPr>
          <w:rFonts w:hint="eastAsia" w:ascii="仿宋_GB2312" w:eastAsia="仿宋_GB2312"/>
          <w:sz w:val="32"/>
          <w:szCs w:val="32"/>
        </w:rPr>
        <w:t>制定，报省人民政府批准后公布执行。</w:t>
      </w:r>
      <w:r>
        <w:rPr>
          <w:rFonts w:hint="eastAsia" w:ascii="仿宋_GB2312" w:hAnsi="黑体" w:eastAsia="仿宋_GB2312"/>
          <w:sz w:val="32"/>
          <w:szCs w:val="32"/>
        </w:rPr>
        <w:t>开发建设管理目录应当至少每五年进行一次评估和更新。</w:t>
      </w:r>
    </w:p>
    <w:p>
      <w:pPr>
        <w:keepNext w:val="0"/>
        <w:keepLines w:val="0"/>
        <w:pageBreakBefore w:val="0"/>
        <w:kinsoku/>
        <w:wordWrap/>
        <w:overflowPunct/>
        <w:topLinePunct w:val="0"/>
        <w:bidi w:val="0"/>
        <w:spacing w:line="579" w:lineRule="exact"/>
        <w:ind w:left="0" w:leftChars="0" w:right="0" w:rightChars="0" w:firstLine="640" w:firstLineChars="200"/>
        <w:textAlignment w:val="auto"/>
        <w:rPr>
          <w:rFonts w:ascii="仿宋_GB2312" w:eastAsia="仿宋_GB2312"/>
          <w:bCs/>
          <w:sz w:val="32"/>
          <w:szCs w:val="32"/>
        </w:rPr>
      </w:pPr>
      <w:r>
        <w:rPr>
          <w:rFonts w:hint="eastAsia" w:ascii="仿宋_GB2312" w:eastAsia="仿宋_GB2312"/>
          <w:sz w:val="32"/>
          <w:szCs w:val="32"/>
        </w:rPr>
        <w:t>县级以上人民政府及其相关主管部门在办理建设项目审批、</w:t>
      </w:r>
      <w:r>
        <w:rPr>
          <w:rFonts w:hint="eastAsia" w:ascii="仿宋_GB2312" w:hAnsi="黑体" w:eastAsia="仿宋_GB2312"/>
          <w:sz w:val="32"/>
          <w:szCs w:val="32"/>
        </w:rPr>
        <w:t>核准或者备案</w:t>
      </w:r>
      <w:r>
        <w:rPr>
          <w:rFonts w:hint="eastAsia" w:ascii="仿宋_GB2312" w:eastAsia="仿宋_GB2312"/>
          <w:sz w:val="32"/>
          <w:szCs w:val="32"/>
        </w:rPr>
        <w:t>手续时，对不符合生态保护红线区开发建设管理目录要求的建设项目，不得办理相关审批、</w:t>
      </w:r>
      <w:r>
        <w:rPr>
          <w:rFonts w:hint="eastAsia" w:ascii="仿宋_GB2312" w:hAnsi="黑体" w:eastAsia="仿宋_GB2312"/>
          <w:sz w:val="32"/>
          <w:szCs w:val="32"/>
        </w:rPr>
        <w:t>核准或者备案</w:t>
      </w:r>
      <w:r>
        <w:rPr>
          <w:rFonts w:hint="eastAsia" w:ascii="仿宋_GB2312" w:eastAsia="仿宋_GB2312"/>
          <w:sz w:val="32"/>
          <w:szCs w:val="32"/>
        </w:rPr>
        <w:t>手续。</w:t>
      </w:r>
    </w:p>
    <w:p>
      <w:pPr>
        <w:keepNext w:val="0"/>
        <w:keepLines w:val="0"/>
        <w:pageBreakBefore w:val="0"/>
        <w:kinsoku/>
        <w:wordWrap/>
        <w:overflowPunct/>
        <w:topLinePunct w:val="0"/>
        <w:bidi w:val="0"/>
        <w:spacing w:line="579" w:lineRule="exact"/>
        <w:ind w:left="0" w:leftChars="0" w:right="0" w:rightChars="0" w:firstLine="640" w:firstLineChars="200"/>
        <w:textAlignment w:val="auto"/>
        <w:rPr>
          <w:rFonts w:ascii="仿宋_GB2312" w:eastAsia="仿宋_GB2312"/>
          <w:bCs/>
          <w:sz w:val="32"/>
          <w:szCs w:val="32"/>
        </w:rPr>
      </w:pPr>
      <w:r>
        <w:rPr>
          <w:rFonts w:eastAsia="黑体"/>
          <w:bCs/>
          <w:sz w:val="32"/>
          <w:szCs w:val="32"/>
        </w:rPr>
        <w:t>第二十三条</w:t>
      </w:r>
      <w:r>
        <w:rPr>
          <w:rFonts w:eastAsia="仿宋_GB2312"/>
          <w:bCs/>
          <w:sz w:val="32"/>
          <w:szCs w:val="32"/>
        </w:rPr>
        <w:t xml:space="preserve">  </w:t>
      </w:r>
      <w:r>
        <w:rPr>
          <w:rFonts w:hint="eastAsia" w:ascii="仿宋_GB2312" w:hAnsi="黑体" w:eastAsia="仿宋_GB2312"/>
          <w:bCs/>
          <w:sz w:val="32"/>
          <w:szCs w:val="32"/>
        </w:rPr>
        <w:t>本规定实施前</w:t>
      </w:r>
      <w:r>
        <w:rPr>
          <w:rFonts w:hint="eastAsia" w:ascii="仿宋_GB2312" w:eastAsia="仿宋_GB2312"/>
          <w:bCs/>
          <w:sz w:val="32"/>
          <w:szCs w:val="32"/>
        </w:rPr>
        <w:t xml:space="preserve">，生态保护红线区内已依法批准对生态环境有不利影响的建设项目，应当根据对生态环境影响的程度，分别采取下列方式进行处理： </w:t>
      </w:r>
    </w:p>
    <w:p>
      <w:pPr>
        <w:keepNext w:val="0"/>
        <w:keepLines w:val="0"/>
        <w:pageBreakBefore w:val="0"/>
        <w:kinsoku/>
        <w:wordWrap/>
        <w:overflowPunct/>
        <w:topLinePunct w:val="0"/>
        <w:bidi w:val="0"/>
        <w:spacing w:line="579" w:lineRule="exact"/>
        <w:ind w:left="0" w:leftChars="0" w:right="0" w:rightChars="0" w:firstLine="640" w:firstLineChars="200"/>
        <w:textAlignment w:val="auto"/>
        <w:rPr>
          <w:rFonts w:ascii="仿宋_GB2312" w:eastAsia="仿宋_GB2312"/>
          <w:bCs/>
          <w:sz w:val="32"/>
          <w:szCs w:val="32"/>
        </w:rPr>
      </w:pPr>
      <w:r>
        <w:rPr>
          <w:rFonts w:hint="eastAsia" w:ascii="仿宋_GB2312" w:eastAsia="仿宋_GB2312"/>
          <w:bCs/>
          <w:sz w:val="32"/>
          <w:szCs w:val="32"/>
        </w:rPr>
        <w:t>（一）对已建成</w:t>
      </w:r>
      <w:r>
        <w:rPr>
          <w:rFonts w:hint="eastAsia" w:ascii="仿宋_GB2312" w:hAnsi="黑体" w:eastAsia="仿宋_GB2312"/>
          <w:bCs/>
          <w:sz w:val="32"/>
          <w:szCs w:val="32"/>
        </w:rPr>
        <w:t>或者在建的</w:t>
      </w:r>
      <w:r>
        <w:rPr>
          <w:rFonts w:hint="eastAsia" w:ascii="仿宋_GB2312" w:eastAsia="仿宋_GB2312"/>
          <w:bCs/>
          <w:sz w:val="32"/>
          <w:szCs w:val="32"/>
        </w:rPr>
        <w:t xml:space="preserve">项目，县级以上人民政府应当建立退出机制，引导项目进行改造或者产业转型升级，逐步调整为与生态环境不相抵触的适宜用途; </w:t>
      </w:r>
    </w:p>
    <w:p>
      <w:pPr>
        <w:keepNext w:val="0"/>
        <w:keepLines w:val="0"/>
        <w:pageBreakBefore w:val="0"/>
        <w:kinsoku/>
        <w:wordWrap/>
        <w:overflowPunct/>
        <w:topLinePunct w:val="0"/>
        <w:bidi w:val="0"/>
        <w:spacing w:line="579" w:lineRule="exact"/>
        <w:ind w:left="0" w:leftChars="0" w:right="0" w:rightChars="0" w:firstLine="640" w:firstLineChars="200"/>
        <w:textAlignment w:val="auto"/>
        <w:rPr>
          <w:rFonts w:ascii="仿宋_GB2312" w:eastAsia="仿宋_GB2312"/>
          <w:sz w:val="32"/>
          <w:szCs w:val="32"/>
        </w:rPr>
      </w:pPr>
      <w:r>
        <w:rPr>
          <w:rFonts w:hint="eastAsia" w:ascii="仿宋_GB2312" w:eastAsia="仿宋_GB2312"/>
          <w:bCs/>
          <w:sz w:val="32"/>
          <w:szCs w:val="32"/>
        </w:rPr>
        <w:t>（二）对尚未开工的项目，应当调整为资源消耗低、环境影响小的项目，并严格控制开发强度和用地功能。</w:t>
      </w:r>
    </w:p>
    <w:p>
      <w:pPr>
        <w:keepNext w:val="0"/>
        <w:keepLines w:val="0"/>
        <w:pageBreakBefore w:val="0"/>
        <w:kinsoku/>
        <w:wordWrap/>
        <w:overflowPunct/>
        <w:topLinePunct w:val="0"/>
        <w:bidi w:val="0"/>
        <w:spacing w:line="579" w:lineRule="exact"/>
        <w:ind w:left="0" w:leftChars="0" w:right="0" w:rightChars="0" w:firstLine="640" w:firstLineChars="200"/>
        <w:textAlignment w:val="auto"/>
        <w:rPr>
          <w:rFonts w:eastAsia="仿宋_GB2312"/>
          <w:sz w:val="32"/>
          <w:szCs w:val="32"/>
        </w:rPr>
      </w:pPr>
      <w:r>
        <w:rPr>
          <w:rFonts w:eastAsia="黑体"/>
          <w:bCs/>
          <w:sz w:val="32"/>
          <w:szCs w:val="32"/>
        </w:rPr>
        <w:t>第二十四条</w:t>
      </w:r>
      <w:r>
        <w:rPr>
          <w:rFonts w:eastAsia="仿宋_GB2312"/>
          <w:b/>
          <w:sz w:val="32"/>
          <w:szCs w:val="32"/>
        </w:rPr>
        <w:t xml:space="preserve">  </w:t>
      </w:r>
      <w:r>
        <w:rPr>
          <w:rFonts w:eastAsia="仿宋_GB2312"/>
          <w:sz w:val="32"/>
          <w:szCs w:val="32"/>
        </w:rPr>
        <w:t>县级以上人民政府及其相关主管部门应当加强生态保护红线区生态保护与修复，实施生物多样性保护、天然林保护、</w:t>
      </w:r>
      <w:r>
        <w:rPr>
          <w:rFonts w:eastAsia="仿宋_GB2312"/>
          <w:spacing w:val="-9"/>
          <w:sz w:val="32"/>
          <w:szCs w:val="32"/>
        </w:rPr>
        <w:t>水土流失综合治理等生态保护与修复工程，提升生态服务功能</w:t>
      </w:r>
      <w:r>
        <w:rPr>
          <w:rFonts w:eastAsia="仿宋_GB2312"/>
          <w:sz w:val="32"/>
          <w:szCs w:val="32"/>
        </w:rPr>
        <w:t>。</w:t>
      </w:r>
    </w:p>
    <w:p>
      <w:pPr>
        <w:keepNext w:val="0"/>
        <w:keepLines w:val="0"/>
        <w:pageBreakBefore w:val="0"/>
        <w:kinsoku/>
        <w:wordWrap/>
        <w:overflowPunct/>
        <w:topLinePunct w:val="0"/>
        <w:autoSpaceDE w:val="0"/>
        <w:autoSpaceDN w:val="0"/>
        <w:bidi w:val="0"/>
        <w:spacing w:line="579" w:lineRule="exact"/>
        <w:ind w:left="0" w:leftChars="0" w:right="0" w:rightChars="0" w:firstLine="640" w:firstLineChars="200"/>
        <w:textAlignment w:val="auto"/>
        <w:rPr>
          <w:rFonts w:eastAsia="仿宋_GB2312"/>
          <w:sz w:val="32"/>
          <w:szCs w:val="32"/>
        </w:rPr>
      </w:pPr>
      <w:r>
        <w:rPr>
          <w:rFonts w:eastAsia="黑体"/>
          <w:bCs/>
          <w:sz w:val="32"/>
          <w:szCs w:val="32"/>
        </w:rPr>
        <w:t>第二十五条</w:t>
      </w:r>
      <w:r>
        <w:rPr>
          <w:rFonts w:eastAsia="仿宋_GB2312"/>
          <w:b/>
          <w:sz w:val="32"/>
          <w:szCs w:val="32"/>
        </w:rPr>
        <w:t xml:space="preserve">  </w:t>
      </w:r>
      <w:r>
        <w:rPr>
          <w:rFonts w:eastAsia="仿宋_GB2312"/>
          <w:sz w:val="32"/>
          <w:szCs w:val="32"/>
        </w:rPr>
        <w:t>县级以上人民政府应当建立生态保护红线区生态移民机制，逐步引导重要江河源头等</w:t>
      </w:r>
      <w:r>
        <w:rPr>
          <w:rFonts w:hint="eastAsia" w:ascii="宋体" w:hAnsi="宋体" w:cs="宋体"/>
          <w:sz w:val="32"/>
          <w:szCs w:val="32"/>
        </w:rPr>
        <w:t>Ⅰ</w:t>
      </w:r>
      <w:r>
        <w:rPr>
          <w:rFonts w:eastAsia="仿宋_GB2312"/>
          <w:sz w:val="32"/>
          <w:szCs w:val="32"/>
        </w:rPr>
        <w:t>类生态保护红线区内的居民退出生态保护红线区。</w:t>
      </w:r>
    </w:p>
    <w:p>
      <w:pPr>
        <w:keepNext w:val="0"/>
        <w:keepLines w:val="0"/>
        <w:pageBreakBefore w:val="0"/>
        <w:kinsoku/>
        <w:wordWrap/>
        <w:overflowPunct/>
        <w:topLinePunct w:val="0"/>
        <w:autoSpaceDE w:val="0"/>
        <w:autoSpaceDN w:val="0"/>
        <w:bidi w:val="0"/>
        <w:spacing w:line="579" w:lineRule="exact"/>
        <w:ind w:left="0" w:leftChars="0" w:right="0" w:rightChars="0" w:firstLine="640" w:firstLineChars="200"/>
        <w:textAlignment w:val="auto"/>
        <w:rPr>
          <w:rFonts w:eastAsia="仿宋_GB2312"/>
          <w:sz w:val="32"/>
          <w:szCs w:val="32"/>
        </w:rPr>
      </w:pPr>
      <w:r>
        <w:rPr>
          <w:rFonts w:eastAsia="黑体"/>
          <w:bCs/>
          <w:sz w:val="32"/>
          <w:szCs w:val="32"/>
        </w:rPr>
        <w:t>第二十六条</w:t>
      </w:r>
      <w:r>
        <w:rPr>
          <w:rFonts w:eastAsia="仿宋_GB2312"/>
          <w:b/>
          <w:sz w:val="32"/>
          <w:szCs w:val="32"/>
        </w:rPr>
        <w:t xml:space="preserve">  </w:t>
      </w:r>
      <w:r>
        <w:rPr>
          <w:rFonts w:eastAsia="仿宋_GB2312"/>
          <w:sz w:val="32"/>
          <w:szCs w:val="32"/>
        </w:rPr>
        <w:t>县级以上人民政府应当建立生态保护红线生态补偿机制，将生态补偿资金列入财政预算，明确补偿范围，合理确定补偿标准，改善和提升生态保护红线区生态服务功能，促进生态保护红线区和其他地区的协调发展。</w:t>
      </w:r>
    </w:p>
    <w:p>
      <w:pPr>
        <w:keepNext w:val="0"/>
        <w:keepLines w:val="0"/>
        <w:pageBreakBefore w:val="0"/>
        <w:kinsoku/>
        <w:wordWrap/>
        <w:overflowPunct/>
        <w:topLinePunct w:val="0"/>
        <w:autoSpaceDE w:val="0"/>
        <w:autoSpaceDN w:val="0"/>
        <w:bidi w:val="0"/>
        <w:spacing w:line="579" w:lineRule="exact"/>
        <w:ind w:left="0" w:leftChars="0" w:right="0" w:rightChars="0" w:firstLine="640" w:firstLineChars="200"/>
        <w:textAlignment w:val="auto"/>
        <w:rPr>
          <w:rFonts w:eastAsia="仿宋_GB2312"/>
          <w:sz w:val="32"/>
          <w:szCs w:val="32"/>
        </w:rPr>
      </w:pPr>
      <w:r>
        <w:rPr>
          <w:rFonts w:eastAsia="黑体"/>
          <w:bCs/>
          <w:sz w:val="32"/>
          <w:szCs w:val="32"/>
        </w:rPr>
        <w:t xml:space="preserve">第二十七条  </w:t>
      </w:r>
      <w:r>
        <w:rPr>
          <w:rFonts w:hint="eastAsia" w:ascii="仿宋_GB2312" w:eastAsia="仿宋_GB2312"/>
          <w:sz w:val="32"/>
          <w:szCs w:val="32"/>
        </w:rPr>
        <w:t>县级以上人民政府环境保护主管部门应当会同有关主管部门建立生态保护红线监测平台</w:t>
      </w:r>
      <w:r>
        <w:rPr>
          <w:rFonts w:eastAsia="仿宋_GB2312"/>
          <w:sz w:val="32"/>
          <w:szCs w:val="32"/>
        </w:rPr>
        <w:t>，开展定期监测与调查，对生态保护红线区内生态环境实施动态监管。</w:t>
      </w:r>
    </w:p>
    <w:p>
      <w:pPr>
        <w:keepNext w:val="0"/>
        <w:keepLines w:val="0"/>
        <w:pageBreakBefore w:val="0"/>
        <w:kinsoku/>
        <w:wordWrap/>
        <w:overflowPunct/>
        <w:topLinePunct w:val="0"/>
        <w:autoSpaceDE w:val="0"/>
        <w:autoSpaceDN w:val="0"/>
        <w:bidi w:val="0"/>
        <w:spacing w:line="579" w:lineRule="exact"/>
        <w:ind w:left="0" w:leftChars="0" w:right="0" w:rightChars="0" w:firstLine="640" w:firstLineChars="200"/>
        <w:textAlignment w:val="auto"/>
        <w:rPr>
          <w:rFonts w:ascii="仿宋_GB2312" w:eastAsia="仿宋_GB2312"/>
          <w:sz w:val="32"/>
          <w:szCs w:val="32"/>
        </w:rPr>
      </w:pPr>
      <w:r>
        <w:rPr>
          <w:rFonts w:eastAsia="黑体"/>
          <w:bCs/>
          <w:sz w:val="32"/>
          <w:szCs w:val="32"/>
        </w:rPr>
        <w:t>第二十八条</w:t>
      </w:r>
      <w:r>
        <w:rPr>
          <w:rFonts w:eastAsia="仿宋_GB2312"/>
          <w:b/>
          <w:sz w:val="32"/>
          <w:szCs w:val="32"/>
        </w:rPr>
        <w:t xml:space="preserve">  </w:t>
      </w:r>
      <w:r>
        <w:rPr>
          <w:rFonts w:hint="eastAsia" w:ascii="仿宋_GB2312" w:eastAsia="仿宋_GB2312"/>
          <w:sz w:val="32"/>
          <w:szCs w:val="32"/>
        </w:rPr>
        <w:t>县级以上人民政府应当加强生态环境监管能力建设，划定生态环境监管网格，开展日常巡查，推进生态保护红线区联合执法，加强对生态保护红线区的监管，依法查处破坏生态环境的违法行为。</w:t>
      </w:r>
    </w:p>
    <w:p>
      <w:pPr>
        <w:keepNext w:val="0"/>
        <w:keepLines w:val="0"/>
        <w:pageBreakBefore w:val="0"/>
        <w:kinsoku/>
        <w:wordWrap/>
        <w:overflowPunct/>
        <w:topLinePunct w:val="0"/>
        <w:bidi w:val="0"/>
        <w:spacing w:line="579" w:lineRule="exact"/>
        <w:ind w:left="0" w:leftChars="0" w:right="0" w:rightChars="0" w:firstLine="640" w:firstLineChars="200"/>
        <w:textAlignment w:val="auto"/>
        <w:rPr>
          <w:rFonts w:ascii="仿宋_GB2312" w:eastAsia="仿宋_GB2312"/>
          <w:sz w:val="32"/>
          <w:szCs w:val="32"/>
        </w:rPr>
      </w:pPr>
      <w:r>
        <w:rPr>
          <w:rFonts w:eastAsia="黑体"/>
          <w:bCs/>
          <w:sz w:val="32"/>
          <w:szCs w:val="32"/>
        </w:rPr>
        <w:t>第二十九条</w:t>
      </w:r>
      <w:r>
        <w:rPr>
          <w:rFonts w:eastAsia="仿宋_GB2312"/>
          <w:b/>
          <w:sz w:val="32"/>
          <w:szCs w:val="32"/>
        </w:rPr>
        <w:t xml:space="preserve">  </w:t>
      </w:r>
      <w:r>
        <w:rPr>
          <w:rFonts w:hint="eastAsia" w:ascii="仿宋_GB2312" w:eastAsia="仿宋_GB2312"/>
          <w:sz w:val="32"/>
          <w:szCs w:val="32"/>
        </w:rPr>
        <w:t>县级以上人民政府环境保护主管部门应当设置举报电话，受理在生态保护红线区内破坏生态和污染环境行为的投诉和举报。</w:t>
      </w:r>
    </w:p>
    <w:p>
      <w:pPr>
        <w:keepNext w:val="0"/>
        <w:keepLines w:val="0"/>
        <w:pageBreakBefore w:val="0"/>
        <w:kinsoku/>
        <w:wordWrap/>
        <w:overflowPunct/>
        <w:topLinePunct w:val="0"/>
        <w:bidi w:val="0"/>
        <w:spacing w:line="579" w:lineRule="exact"/>
        <w:ind w:left="0" w:leftChars="0" w:right="0" w:rightChars="0" w:firstLine="640" w:firstLineChars="200"/>
        <w:textAlignment w:val="auto"/>
        <w:rPr>
          <w:rFonts w:ascii="仿宋_GB2312" w:eastAsia="仿宋_GB2312"/>
          <w:snapToGrid w:val="0"/>
          <w:kern w:val="0"/>
          <w:sz w:val="32"/>
          <w:szCs w:val="32"/>
        </w:rPr>
      </w:pPr>
      <w:r>
        <w:rPr>
          <w:rFonts w:hint="eastAsia" w:ascii="仿宋_GB2312" w:eastAsia="仿宋_GB2312"/>
          <w:sz w:val="32"/>
          <w:szCs w:val="32"/>
        </w:rPr>
        <w:t>县级以上人民政府环境保护、海洋、规划、国土资源、住房和城乡建设、林业、水务、农业等</w:t>
      </w:r>
      <w:r>
        <w:rPr>
          <w:rFonts w:hint="eastAsia" w:ascii="仿宋_GB2312" w:eastAsia="仿宋_GB2312"/>
          <w:snapToGrid w:val="0"/>
          <w:kern w:val="0"/>
          <w:sz w:val="32"/>
          <w:szCs w:val="32"/>
        </w:rPr>
        <w:t>有关主管部门或者</w:t>
      </w:r>
      <w:r>
        <w:rPr>
          <w:rFonts w:hint="eastAsia" w:ascii="仿宋_GB2312" w:hAnsi="黑体" w:eastAsia="仿宋_GB2312"/>
          <w:snapToGrid w:val="0"/>
          <w:kern w:val="0"/>
          <w:sz w:val="32"/>
          <w:szCs w:val="32"/>
        </w:rPr>
        <w:t>综合执法部门</w:t>
      </w:r>
      <w:r>
        <w:rPr>
          <w:rFonts w:hint="eastAsia" w:ascii="仿宋_GB2312" w:eastAsia="仿宋_GB2312"/>
          <w:snapToGrid w:val="0"/>
          <w:kern w:val="0"/>
          <w:sz w:val="32"/>
          <w:szCs w:val="32"/>
        </w:rPr>
        <w:t>在接到违法行为的举报后，应当及时进行调查处理；如果发现违法行为不属于本部门职权范围的，应当及时移交有关主管部门调查处理，不得以非本部门管理职责为由不受理举报。</w:t>
      </w:r>
    </w:p>
    <w:p>
      <w:pPr>
        <w:keepNext w:val="0"/>
        <w:keepLines w:val="0"/>
        <w:pageBreakBefore w:val="0"/>
        <w:kinsoku/>
        <w:wordWrap/>
        <w:overflowPunct/>
        <w:topLinePunct w:val="0"/>
        <w:bidi w:val="0"/>
        <w:spacing w:line="579" w:lineRule="exact"/>
        <w:ind w:left="0" w:leftChars="0" w:right="0" w:rightChars="0" w:firstLine="640" w:firstLineChars="200"/>
        <w:textAlignment w:val="auto"/>
        <w:rPr>
          <w:rFonts w:ascii="仿宋_GB2312" w:eastAsia="仿宋_GB2312"/>
          <w:snapToGrid w:val="0"/>
          <w:kern w:val="0"/>
          <w:sz w:val="32"/>
          <w:szCs w:val="32"/>
        </w:rPr>
      </w:pPr>
      <w:r>
        <w:rPr>
          <w:rFonts w:eastAsia="黑体"/>
          <w:snapToGrid w:val="0"/>
          <w:kern w:val="0"/>
          <w:sz w:val="32"/>
          <w:szCs w:val="32"/>
        </w:rPr>
        <w:t xml:space="preserve">第三十条  </w:t>
      </w:r>
      <w:r>
        <w:rPr>
          <w:rFonts w:hint="eastAsia" w:ascii="仿宋_GB2312" w:eastAsia="仿宋_GB2312"/>
          <w:snapToGrid w:val="0"/>
          <w:kern w:val="0"/>
          <w:sz w:val="32"/>
          <w:szCs w:val="32"/>
        </w:rPr>
        <w:t>违反本规定，破坏或者擅自移动生态保护红线地理界标、宣传牌和警示标志的，由县级以上人民政府环境保护或者海洋主管部门责令改正，可处以五百元以上二千元以下的罚款；情节严重的，处以二千元以上五千元以下的罚款；造成损失的，应当依法予以赔偿。</w:t>
      </w:r>
    </w:p>
    <w:p>
      <w:pPr>
        <w:keepNext w:val="0"/>
        <w:keepLines w:val="0"/>
        <w:pageBreakBefore w:val="0"/>
        <w:kinsoku/>
        <w:wordWrap/>
        <w:overflowPunct/>
        <w:topLinePunct w:val="0"/>
        <w:bidi w:val="0"/>
        <w:spacing w:line="579" w:lineRule="exact"/>
        <w:ind w:left="0" w:leftChars="0" w:right="0" w:rightChars="0" w:firstLine="640" w:firstLineChars="200"/>
        <w:textAlignment w:val="auto"/>
        <w:rPr>
          <w:rFonts w:ascii="仿宋_GB2312" w:eastAsia="仿宋_GB2312"/>
          <w:sz w:val="32"/>
          <w:szCs w:val="32"/>
        </w:rPr>
      </w:pPr>
      <w:r>
        <w:rPr>
          <w:rFonts w:eastAsia="黑体"/>
          <w:bCs/>
          <w:sz w:val="32"/>
          <w:szCs w:val="32"/>
        </w:rPr>
        <w:t xml:space="preserve">第三十一条  </w:t>
      </w:r>
      <w:r>
        <w:rPr>
          <w:rFonts w:hint="eastAsia" w:ascii="仿宋_GB2312" w:eastAsia="仿宋_GB2312"/>
          <w:sz w:val="32"/>
          <w:szCs w:val="32"/>
        </w:rPr>
        <w:t>违反本规定在生态保护红线区内进行开发建设等活动的，由县级以上人民政府环境保护、海洋、规划、国土资源、住房和城乡建设、林业、水务、农业等有关主管部门或者综合执法部门按照各自职责依法处理；法律、法规未作规定的，由县级以上人民政府环境保护或者海洋主管部门责令停止违法行为，限期拆除或者关闭；构成犯罪的，依法追究刑事责任。</w:t>
      </w:r>
    </w:p>
    <w:p>
      <w:pPr>
        <w:keepNext w:val="0"/>
        <w:keepLines w:val="0"/>
        <w:pageBreakBefore w:val="0"/>
        <w:kinsoku/>
        <w:wordWrap/>
        <w:overflowPunct/>
        <w:topLinePunct w:val="0"/>
        <w:bidi w:val="0"/>
        <w:spacing w:line="579" w:lineRule="exact"/>
        <w:ind w:left="0" w:leftChars="0" w:right="0" w:rightChars="0" w:firstLine="640" w:firstLineChars="200"/>
        <w:textAlignment w:val="auto"/>
        <w:rPr>
          <w:rFonts w:ascii="仿宋_GB2312" w:eastAsia="仿宋_GB2312"/>
          <w:sz w:val="32"/>
          <w:szCs w:val="32"/>
        </w:rPr>
      </w:pPr>
      <w:r>
        <w:rPr>
          <w:rFonts w:eastAsia="黑体"/>
          <w:bCs/>
          <w:sz w:val="32"/>
          <w:szCs w:val="32"/>
        </w:rPr>
        <w:t>第三十</w:t>
      </w:r>
      <w:r>
        <w:rPr>
          <w:rFonts w:hint="eastAsia" w:eastAsia="黑体"/>
          <w:bCs/>
          <w:sz w:val="32"/>
          <w:szCs w:val="32"/>
        </w:rPr>
        <w:t>二</w:t>
      </w:r>
      <w:r>
        <w:rPr>
          <w:rFonts w:eastAsia="黑体"/>
          <w:bCs/>
          <w:sz w:val="32"/>
          <w:szCs w:val="32"/>
        </w:rPr>
        <w:t xml:space="preserve">条  </w:t>
      </w:r>
      <w:r>
        <w:rPr>
          <w:rFonts w:eastAsia="仿宋_GB2312"/>
          <w:sz w:val="32"/>
          <w:szCs w:val="32"/>
        </w:rPr>
        <w:t>县级以上人民政府及其相关主管部门和工作人员有下列行为之一的，由上级主管部门或者监察机关责令改正，对直接负责的主管人员和其他直接责任人员依法</w:t>
      </w:r>
      <w:r>
        <w:rPr>
          <w:rFonts w:hint="eastAsia" w:ascii="仿宋_GB2312" w:eastAsia="仿宋_GB2312"/>
          <w:sz w:val="32"/>
          <w:szCs w:val="32"/>
        </w:rPr>
        <w:t xml:space="preserve">给予处分;构成犯罪的，依法追究刑事责任： </w:t>
      </w:r>
    </w:p>
    <w:p>
      <w:pPr>
        <w:keepNext w:val="0"/>
        <w:keepLines w:val="0"/>
        <w:pageBreakBefore w:val="0"/>
        <w:kinsoku/>
        <w:wordWrap/>
        <w:overflowPunct/>
        <w:topLinePunct w:val="0"/>
        <w:bidi w:val="0"/>
        <w:spacing w:line="579" w:lineRule="exact"/>
        <w:ind w:left="0" w:leftChars="0" w:right="0" w:rightChars="0" w:firstLine="640" w:firstLineChars="200"/>
        <w:textAlignment w:val="auto"/>
        <w:rPr>
          <w:rFonts w:ascii="仿宋_GB2312" w:eastAsia="仿宋_GB2312"/>
          <w:sz w:val="32"/>
          <w:szCs w:val="32"/>
        </w:rPr>
      </w:pPr>
      <w:r>
        <w:rPr>
          <w:rFonts w:hint="eastAsia" w:ascii="仿宋_GB2312" w:eastAsia="仿宋_GB2312"/>
          <w:sz w:val="32"/>
          <w:szCs w:val="32"/>
        </w:rPr>
        <w:t xml:space="preserve">（一）未依法划定或者调整生态保护红线的； </w:t>
      </w:r>
    </w:p>
    <w:p>
      <w:pPr>
        <w:keepNext w:val="0"/>
        <w:keepLines w:val="0"/>
        <w:pageBreakBefore w:val="0"/>
        <w:kinsoku/>
        <w:wordWrap/>
        <w:overflowPunct/>
        <w:topLinePunct w:val="0"/>
        <w:bidi w:val="0"/>
        <w:spacing w:line="579" w:lineRule="exact"/>
        <w:ind w:left="0" w:leftChars="0" w:right="0" w:rightChars="0" w:firstLine="640" w:firstLineChars="200"/>
        <w:textAlignment w:val="auto"/>
        <w:rPr>
          <w:rFonts w:ascii="仿宋_GB2312" w:eastAsia="仿宋_GB2312"/>
          <w:sz w:val="32"/>
          <w:szCs w:val="32"/>
        </w:rPr>
      </w:pPr>
      <w:r>
        <w:rPr>
          <w:rFonts w:hint="eastAsia" w:ascii="仿宋_GB2312" w:eastAsia="仿宋_GB2312"/>
          <w:sz w:val="32"/>
          <w:szCs w:val="32"/>
        </w:rPr>
        <w:t>（二）</w:t>
      </w:r>
      <w:r>
        <w:rPr>
          <w:rFonts w:hint="eastAsia" w:ascii="仿宋_GB2312" w:hAnsi="黑体" w:eastAsia="仿宋_GB2312"/>
          <w:sz w:val="32"/>
          <w:szCs w:val="32"/>
        </w:rPr>
        <w:t>对不符合</w:t>
      </w:r>
      <w:r>
        <w:rPr>
          <w:rFonts w:hint="eastAsia" w:ascii="仿宋_GB2312" w:eastAsia="仿宋_GB2312"/>
          <w:sz w:val="32"/>
          <w:szCs w:val="32"/>
        </w:rPr>
        <w:t>生态保护红线区开发建设管理目录的</w:t>
      </w:r>
      <w:r>
        <w:rPr>
          <w:rFonts w:hint="eastAsia" w:ascii="仿宋_GB2312" w:hAnsi="黑体" w:eastAsia="仿宋_GB2312"/>
          <w:sz w:val="32"/>
          <w:szCs w:val="32"/>
        </w:rPr>
        <w:t>建设项目予以审批、核准或者备案的</w:t>
      </w:r>
      <w:r>
        <w:rPr>
          <w:rFonts w:hint="eastAsia" w:ascii="仿宋_GB2312" w:eastAsia="仿宋_GB2312"/>
          <w:sz w:val="32"/>
          <w:szCs w:val="32"/>
        </w:rPr>
        <w:t xml:space="preserve">； </w:t>
      </w:r>
    </w:p>
    <w:p>
      <w:pPr>
        <w:keepNext w:val="0"/>
        <w:keepLines w:val="0"/>
        <w:pageBreakBefore w:val="0"/>
        <w:kinsoku/>
        <w:wordWrap/>
        <w:overflowPunct/>
        <w:topLinePunct w:val="0"/>
        <w:bidi w:val="0"/>
        <w:spacing w:line="579" w:lineRule="exact"/>
        <w:ind w:left="0" w:leftChars="0" w:right="0" w:rightChars="0" w:firstLine="640" w:firstLineChars="200"/>
        <w:textAlignment w:val="auto"/>
        <w:rPr>
          <w:rFonts w:ascii="仿宋_GB2312" w:eastAsia="仿宋_GB2312"/>
          <w:sz w:val="32"/>
          <w:szCs w:val="32"/>
        </w:rPr>
      </w:pPr>
      <w:r>
        <w:rPr>
          <w:rFonts w:hint="eastAsia" w:ascii="仿宋_GB2312" w:eastAsia="仿宋_GB2312"/>
          <w:sz w:val="32"/>
          <w:szCs w:val="32"/>
        </w:rPr>
        <w:t xml:space="preserve">（三）未对生态保护红线区内违法建设依法查处的； </w:t>
      </w:r>
    </w:p>
    <w:p>
      <w:pPr>
        <w:keepNext w:val="0"/>
        <w:keepLines w:val="0"/>
        <w:pageBreakBefore w:val="0"/>
        <w:kinsoku/>
        <w:wordWrap/>
        <w:overflowPunct/>
        <w:topLinePunct w:val="0"/>
        <w:bidi w:val="0"/>
        <w:spacing w:line="579" w:lineRule="exact"/>
        <w:ind w:left="0" w:leftChars="0" w:right="0" w:rightChars="0" w:firstLine="640" w:firstLineChars="200"/>
        <w:textAlignment w:val="auto"/>
        <w:rPr>
          <w:rFonts w:ascii="仿宋_GB2312" w:eastAsia="仿宋_GB2312"/>
          <w:sz w:val="32"/>
          <w:szCs w:val="32"/>
        </w:rPr>
      </w:pPr>
      <w:r>
        <w:rPr>
          <w:rFonts w:hint="eastAsia" w:ascii="仿宋_GB2312" w:eastAsia="仿宋_GB2312"/>
          <w:sz w:val="32"/>
          <w:szCs w:val="32"/>
        </w:rPr>
        <w:t>（四）未按规定受理投诉或者举报的；</w:t>
      </w:r>
    </w:p>
    <w:p>
      <w:pPr>
        <w:keepNext w:val="0"/>
        <w:keepLines w:val="0"/>
        <w:pageBreakBefore w:val="0"/>
        <w:kinsoku/>
        <w:wordWrap/>
        <w:overflowPunct/>
        <w:topLinePunct w:val="0"/>
        <w:bidi w:val="0"/>
        <w:spacing w:line="579" w:lineRule="exact"/>
        <w:ind w:left="0" w:leftChars="0" w:right="0" w:rightChars="0" w:firstLine="640" w:firstLineChars="200"/>
        <w:textAlignment w:val="auto"/>
        <w:rPr>
          <w:rFonts w:ascii="仿宋_GB2312" w:eastAsia="仿宋_GB2312"/>
          <w:sz w:val="32"/>
          <w:szCs w:val="32"/>
        </w:rPr>
      </w:pPr>
      <w:r>
        <w:rPr>
          <w:rFonts w:hint="eastAsia" w:ascii="仿宋_GB2312" w:eastAsia="仿宋_GB2312"/>
          <w:sz w:val="32"/>
          <w:szCs w:val="32"/>
        </w:rPr>
        <w:t>（五）对发现或者群众举报的违反生态保护红线管理规定的行为，不按照规定查处，造成严重后果的；</w:t>
      </w:r>
    </w:p>
    <w:p>
      <w:pPr>
        <w:keepNext w:val="0"/>
        <w:keepLines w:val="0"/>
        <w:pageBreakBefore w:val="0"/>
        <w:kinsoku/>
        <w:wordWrap/>
        <w:overflowPunct/>
        <w:topLinePunct w:val="0"/>
        <w:bidi w:val="0"/>
        <w:spacing w:line="579" w:lineRule="exact"/>
        <w:ind w:left="0" w:leftChars="0" w:right="0" w:rightChars="0" w:firstLine="640" w:firstLineChars="200"/>
        <w:textAlignment w:val="auto"/>
        <w:rPr>
          <w:rFonts w:ascii="仿宋_GB2312" w:eastAsia="仿宋_GB2312"/>
          <w:sz w:val="32"/>
          <w:szCs w:val="32"/>
        </w:rPr>
      </w:pPr>
      <w:r>
        <w:rPr>
          <w:rFonts w:hint="eastAsia" w:ascii="仿宋_GB2312" w:eastAsia="仿宋_GB2312"/>
          <w:sz w:val="32"/>
          <w:szCs w:val="32"/>
        </w:rPr>
        <w:t xml:space="preserve">（六）其他玩忽职守、徇私舞弊、滥用职权，导致生态保护红线区生态环境遭受严重破坏的行为。 </w:t>
      </w:r>
    </w:p>
    <w:p>
      <w:pPr>
        <w:keepNext w:val="0"/>
        <w:keepLines w:val="0"/>
        <w:pageBreakBefore w:val="0"/>
        <w:kinsoku/>
        <w:wordWrap/>
        <w:overflowPunct/>
        <w:topLinePunct w:val="0"/>
        <w:bidi w:val="0"/>
        <w:spacing w:line="579" w:lineRule="exact"/>
        <w:ind w:left="0" w:leftChars="0" w:right="0" w:rightChars="0" w:firstLine="640" w:firstLineChars="200"/>
        <w:textAlignment w:val="auto"/>
        <w:rPr>
          <w:rFonts w:ascii="仿宋_GB2312" w:eastAsia="仿宋_GB2312"/>
          <w:sz w:val="32"/>
          <w:szCs w:val="32"/>
        </w:rPr>
      </w:pPr>
      <w:r>
        <w:rPr>
          <w:rFonts w:eastAsia="黑体"/>
          <w:bCs/>
          <w:vanish/>
          <w:sz w:val="32"/>
          <w:szCs w:val="32"/>
        </w:rPr>
        <w:t xml:space="preserve">二十八，外，模化养殖及其它破坏主要生态功能和生态环境的工程项目。          </w:t>
      </w:r>
      <w:r>
        <w:rPr>
          <w:rFonts w:eastAsia="黑体"/>
          <w:bCs/>
          <w:vanish/>
          <w:sz w:val="32"/>
          <w:szCs w:val="32"/>
        </w:rPr>
        <w:pgNum/>
      </w:r>
      <w:r>
        <w:rPr>
          <w:rFonts w:eastAsia="黑体"/>
          <w:bCs/>
          <w:vanish/>
          <w:sz w:val="32"/>
          <w:szCs w:val="32"/>
        </w:rPr>
        <w:pgNum/>
      </w:r>
      <w:r>
        <w:rPr>
          <w:rFonts w:eastAsia="黑体"/>
          <w:bCs/>
          <w:vanish/>
          <w:sz w:val="32"/>
          <w:szCs w:val="32"/>
        </w:rPr>
        <w:pgNum/>
      </w:r>
      <w:r>
        <w:rPr>
          <w:rFonts w:eastAsia="黑体"/>
          <w:bCs/>
          <w:vanish/>
          <w:sz w:val="32"/>
          <w:szCs w:val="32"/>
        </w:rPr>
        <w:pgNum/>
      </w:r>
      <w:r>
        <w:rPr>
          <w:rFonts w:eastAsia="黑体"/>
          <w:bCs/>
          <w:vanish/>
          <w:sz w:val="32"/>
          <w:szCs w:val="32"/>
        </w:rPr>
        <w:pgNum/>
      </w:r>
      <w:r>
        <w:rPr>
          <w:rFonts w:eastAsia="黑体"/>
          <w:bCs/>
          <w:vanish/>
          <w:sz w:val="32"/>
          <w:szCs w:val="32"/>
        </w:rPr>
        <w:pgNum/>
      </w:r>
      <w:r>
        <w:rPr>
          <w:rFonts w:eastAsia="黑体"/>
          <w:bCs/>
          <w:vanish/>
          <w:sz w:val="32"/>
          <w:szCs w:val="32"/>
        </w:rPr>
        <w:pgNum/>
      </w:r>
      <w:r>
        <w:rPr>
          <w:rFonts w:eastAsia="黑体"/>
          <w:bCs/>
          <w:vanish/>
          <w:sz w:val="32"/>
          <w:szCs w:val="32"/>
        </w:rPr>
        <w:pgNum/>
      </w:r>
      <w:r>
        <w:rPr>
          <w:rFonts w:eastAsia="黑体"/>
          <w:bCs/>
          <w:vanish/>
          <w:sz w:val="32"/>
          <w:szCs w:val="32"/>
        </w:rPr>
        <w:pgNum/>
      </w:r>
      <w:r>
        <w:rPr>
          <w:rFonts w:eastAsia="黑体"/>
          <w:bCs/>
          <w:vanish/>
          <w:sz w:val="32"/>
          <w:szCs w:val="32"/>
        </w:rPr>
        <w:pgNum/>
      </w:r>
      <w:r>
        <w:rPr>
          <w:rFonts w:eastAsia="黑体"/>
          <w:bCs/>
          <w:vanish/>
          <w:sz w:val="32"/>
          <w:szCs w:val="32"/>
        </w:rPr>
        <w:pgNum/>
      </w:r>
      <w:r>
        <w:rPr>
          <w:rFonts w:eastAsia="黑体"/>
          <w:bCs/>
          <w:vanish/>
          <w:sz w:val="32"/>
          <w:szCs w:val="32"/>
        </w:rPr>
        <w:pgNum/>
      </w:r>
      <w:r>
        <w:rPr>
          <w:rFonts w:eastAsia="黑体"/>
          <w:bCs/>
          <w:vanish/>
          <w:sz w:val="32"/>
          <w:szCs w:val="32"/>
        </w:rPr>
        <w:pgNum/>
      </w:r>
      <w:r>
        <w:rPr>
          <w:rFonts w:eastAsia="黑体"/>
          <w:bCs/>
          <w:vanish/>
          <w:sz w:val="32"/>
          <w:szCs w:val="32"/>
        </w:rPr>
        <w:pgNum/>
      </w:r>
      <w:r>
        <w:rPr>
          <w:rFonts w:eastAsia="黑体"/>
          <w:bCs/>
          <w:vanish/>
          <w:sz w:val="32"/>
          <w:szCs w:val="32"/>
        </w:rPr>
        <w:pgNum/>
      </w:r>
      <w:r>
        <w:rPr>
          <w:rFonts w:eastAsia="黑体"/>
          <w:bCs/>
          <w:vanish/>
          <w:sz w:val="32"/>
          <w:szCs w:val="32"/>
        </w:rPr>
        <w:pgNum/>
      </w:r>
      <w:r>
        <w:rPr>
          <w:rFonts w:eastAsia="黑体"/>
          <w:bCs/>
          <w:vanish/>
          <w:sz w:val="32"/>
          <w:szCs w:val="32"/>
        </w:rPr>
        <w:pgNum/>
      </w:r>
      <w:r>
        <w:rPr>
          <w:rFonts w:eastAsia="黑体"/>
          <w:bCs/>
          <w:vanish/>
          <w:sz w:val="32"/>
          <w:szCs w:val="32"/>
        </w:rPr>
        <w:pgNum/>
      </w:r>
      <w:r>
        <w:rPr>
          <w:rFonts w:eastAsia="黑体"/>
          <w:bCs/>
          <w:vanish/>
          <w:sz w:val="32"/>
          <w:szCs w:val="32"/>
        </w:rPr>
        <w:pgNum/>
      </w:r>
      <w:r>
        <w:rPr>
          <w:rFonts w:eastAsia="黑体"/>
          <w:bCs/>
          <w:vanish/>
          <w:sz w:val="32"/>
          <w:szCs w:val="32"/>
        </w:rPr>
        <w:pgNum/>
      </w:r>
      <w:r>
        <w:rPr>
          <w:rFonts w:eastAsia="黑体"/>
          <w:bCs/>
          <w:vanish/>
          <w:sz w:val="32"/>
          <w:szCs w:val="32"/>
        </w:rPr>
        <w:pgNum/>
      </w:r>
      <w:r>
        <w:rPr>
          <w:rFonts w:eastAsia="黑体"/>
          <w:bCs/>
          <w:vanish/>
          <w:sz w:val="32"/>
          <w:szCs w:val="32"/>
        </w:rPr>
        <w:pgNum/>
      </w:r>
      <w:r>
        <w:rPr>
          <w:rFonts w:eastAsia="黑体"/>
          <w:bCs/>
          <w:vanish/>
          <w:sz w:val="32"/>
          <w:szCs w:val="32"/>
        </w:rPr>
        <w:pgNum/>
      </w:r>
      <w:r>
        <w:rPr>
          <w:rFonts w:eastAsia="黑体"/>
          <w:bCs/>
          <w:vanish/>
          <w:sz w:val="32"/>
          <w:szCs w:val="32"/>
        </w:rPr>
        <w:pgNum/>
      </w:r>
      <w:r>
        <w:rPr>
          <w:rFonts w:eastAsia="黑体"/>
          <w:bCs/>
          <w:vanish/>
          <w:sz w:val="32"/>
          <w:szCs w:val="32"/>
        </w:rPr>
        <w:pgNum/>
      </w:r>
      <w:r>
        <w:rPr>
          <w:rFonts w:eastAsia="黑体"/>
          <w:bCs/>
          <w:vanish/>
          <w:sz w:val="32"/>
          <w:szCs w:val="32"/>
        </w:rPr>
        <w:pgNum/>
      </w:r>
      <w:r>
        <w:rPr>
          <w:rFonts w:eastAsia="黑体"/>
          <w:bCs/>
          <w:vanish/>
          <w:sz w:val="32"/>
          <w:szCs w:val="32"/>
        </w:rPr>
        <w:pgNum/>
      </w:r>
      <w:r>
        <w:rPr>
          <w:rFonts w:eastAsia="黑体"/>
          <w:bCs/>
          <w:vanish/>
          <w:sz w:val="32"/>
          <w:szCs w:val="32"/>
        </w:rPr>
        <w:pgNum/>
      </w:r>
      <w:r>
        <w:rPr>
          <w:rFonts w:eastAsia="黑体"/>
          <w:bCs/>
          <w:vanish/>
          <w:sz w:val="32"/>
          <w:szCs w:val="32"/>
        </w:rPr>
        <w:pgNum/>
      </w:r>
      <w:r>
        <w:rPr>
          <w:rFonts w:eastAsia="黑体"/>
          <w:bCs/>
          <w:vanish/>
          <w:sz w:val="32"/>
          <w:szCs w:val="32"/>
        </w:rPr>
        <w:pgNum/>
      </w:r>
      <w:r>
        <w:rPr>
          <w:rFonts w:eastAsia="黑体"/>
          <w:bCs/>
          <w:vanish/>
          <w:sz w:val="32"/>
          <w:szCs w:val="32"/>
        </w:rPr>
        <w:pgNum/>
      </w:r>
      <w:r>
        <w:rPr>
          <w:rFonts w:eastAsia="黑体"/>
          <w:bCs/>
          <w:vanish/>
          <w:sz w:val="32"/>
          <w:szCs w:val="32"/>
        </w:rPr>
        <w:pgNum/>
      </w:r>
      <w:r>
        <w:rPr>
          <w:rFonts w:eastAsia="黑体"/>
          <w:bCs/>
          <w:vanish/>
          <w:sz w:val="32"/>
          <w:szCs w:val="32"/>
        </w:rPr>
        <w:pgNum/>
      </w:r>
      <w:r>
        <w:rPr>
          <w:rFonts w:eastAsia="黑体"/>
          <w:bCs/>
          <w:vanish/>
          <w:sz w:val="32"/>
          <w:szCs w:val="32"/>
        </w:rPr>
        <w:pgNum/>
      </w:r>
      <w:r>
        <w:rPr>
          <w:rFonts w:eastAsia="黑体"/>
          <w:bCs/>
          <w:vanish/>
          <w:sz w:val="32"/>
          <w:szCs w:val="32"/>
        </w:rPr>
        <w:pgNum/>
      </w:r>
      <w:r>
        <w:rPr>
          <w:rFonts w:eastAsia="黑体"/>
          <w:bCs/>
          <w:vanish/>
          <w:sz w:val="32"/>
          <w:szCs w:val="32"/>
        </w:rPr>
        <w:pgNum/>
      </w:r>
      <w:r>
        <w:rPr>
          <w:rFonts w:eastAsia="黑体"/>
          <w:bCs/>
          <w:vanish/>
          <w:sz w:val="32"/>
          <w:szCs w:val="32"/>
        </w:rPr>
        <w:pgNum/>
      </w:r>
      <w:r>
        <w:rPr>
          <w:rFonts w:eastAsia="黑体"/>
          <w:bCs/>
          <w:vanish/>
          <w:sz w:val="32"/>
          <w:szCs w:val="32"/>
        </w:rPr>
        <w:pgNum/>
      </w:r>
      <w:r>
        <w:rPr>
          <w:rFonts w:eastAsia="黑体"/>
          <w:bCs/>
          <w:vanish/>
          <w:sz w:val="32"/>
          <w:szCs w:val="32"/>
        </w:rPr>
        <w:pgNum/>
      </w:r>
      <w:r>
        <w:rPr>
          <w:rFonts w:eastAsia="黑体"/>
          <w:bCs/>
          <w:vanish/>
          <w:sz w:val="32"/>
          <w:szCs w:val="32"/>
        </w:rPr>
        <w:pgNum/>
      </w:r>
      <w:r>
        <w:rPr>
          <w:rFonts w:eastAsia="黑体"/>
          <w:bCs/>
          <w:vanish/>
          <w:sz w:val="32"/>
          <w:szCs w:val="32"/>
        </w:rPr>
        <w:pgNum/>
      </w:r>
      <w:r>
        <w:rPr>
          <w:rFonts w:eastAsia="黑体"/>
          <w:bCs/>
          <w:vanish/>
          <w:sz w:val="32"/>
          <w:szCs w:val="32"/>
        </w:rPr>
        <w:pgNum/>
      </w:r>
      <w:r>
        <w:rPr>
          <w:rFonts w:eastAsia="黑体"/>
          <w:bCs/>
          <w:vanish/>
          <w:sz w:val="32"/>
          <w:szCs w:val="32"/>
        </w:rPr>
        <w:pgNum/>
      </w:r>
      <w:r>
        <w:rPr>
          <w:rFonts w:eastAsia="黑体"/>
          <w:bCs/>
          <w:vanish/>
          <w:sz w:val="32"/>
          <w:szCs w:val="32"/>
        </w:rPr>
        <w:pgNum/>
      </w:r>
      <w:r>
        <w:rPr>
          <w:rFonts w:eastAsia="黑体"/>
          <w:bCs/>
          <w:vanish/>
          <w:sz w:val="32"/>
          <w:szCs w:val="32"/>
        </w:rPr>
        <w:pgNum/>
      </w:r>
      <w:r>
        <w:rPr>
          <w:rFonts w:eastAsia="黑体"/>
          <w:bCs/>
          <w:vanish/>
          <w:sz w:val="32"/>
          <w:szCs w:val="32"/>
        </w:rPr>
        <w:pgNum/>
      </w:r>
      <w:r>
        <w:rPr>
          <w:rFonts w:eastAsia="黑体"/>
          <w:bCs/>
          <w:vanish/>
          <w:sz w:val="32"/>
          <w:szCs w:val="32"/>
        </w:rPr>
        <w:pgNum/>
      </w:r>
      <w:r>
        <w:rPr>
          <w:rFonts w:eastAsia="黑体"/>
          <w:bCs/>
          <w:vanish/>
          <w:sz w:val="32"/>
          <w:szCs w:val="32"/>
        </w:rPr>
        <w:pgNum/>
      </w:r>
      <w:r>
        <w:rPr>
          <w:rFonts w:eastAsia="黑体"/>
          <w:bCs/>
          <w:vanish/>
          <w:sz w:val="32"/>
          <w:szCs w:val="32"/>
        </w:rPr>
        <w:pgNum/>
      </w:r>
      <w:r>
        <w:rPr>
          <w:rFonts w:eastAsia="黑体"/>
          <w:bCs/>
          <w:vanish/>
          <w:sz w:val="32"/>
          <w:szCs w:val="32"/>
        </w:rPr>
        <w:pgNum/>
      </w:r>
      <w:r>
        <w:rPr>
          <w:rFonts w:eastAsia="黑体"/>
          <w:bCs/>
          <w:vanish/>
          <w:sz w:val="32"/>
          <w:szCs w:val="32"/>
        </w:rPr>
        <w:pgNum/>
      </w:r>
      <w:r>
        <w:rPr>
          <w:rFonts w:eastAsia="黑体"/>
          <w:bCs/>
          <w:vanish/>
          <w:sz w:val="32"/>
          <w:szCs w:val="32"/>
        </w:rPr>
        <w:pgNum/>
      </w:r>
      <w:r>
        <w:rPr>
          <w:rFonts w:eastAsia="黑体"/>
          <w:bCs/>
          <w:vanish/>
          <w:sz w:val="32"/>
          <w:szCs w:val="32"/>
        </w:rPr>
        <w:pgNum/>
      </w:r>
      <w:r>
        <w:rPr>
          <w:rFonts w:eastAsia="黑体"/>
          <w:bCs/>
          <w:vanish/>
          <w:sz w:val="32"/>
          <w:szCs w:val="32"/>
        </w:rPr>
        <w:pgNum/>
      </w:r>
      <w:r>
        <w:rPr>
          <w:rFonts w:eastAsia="黑体"/>
          <w:bCs/>
          <w:vanish/>
          <w:sz w:val="32"/>
          <w:szCs w:val="32"/>
        </w:rPr>
        <w:pgNum/>
      </w:r>
      <w:r>
        <w:rPr>
          <w:rFonts w:eastAsia="黑体"/>
          <w:bCs/>
          <w:vanish/>
          <w:sz w:val="32"/>
          <w:szCs w:val="32"/>
        </w:rPr>
        <w:pgNum/>
      </w:r>
      <w:r>
        <w:rPr>
          <w:rFonts w:eastAsia="黑体"/>
          <w:bCs/>
          <w:vanish/>
          <w:sz w:val="32"/>
          <w:szCs w:val="32"/>
        </w:rPr>
        <w:pgNum/>
      </w:r>
      <w:r>
        <w:rPr>
          <w:rFonts w:eastAsia="黑体"/>
          <w:bCs/>
          <w:vanish/>
          <w:sz w:val="32"/>
          <w:szCs w:val="32"/>
        </w:rPr>
        <w:pgNum/>
      </w:r>
      <w:r>
        <w:rPr>
          <w:rFonts w:eastAsia="黑体"/>
          <w:bCs/>
          <w:vanish/>
          <w:sz w:val="32"/>
          <w:szCs w:val="32"/>
        </w:rPr>
        <w:pgNum/>
      </w:r>
      <w:r>
        <w:rPr>
          <w:rFonts w:eastAsia="黑体"/>
          <w:bCs/>
          <w:vanish/>
          <w:sz w:val="32"/>
          <w:szCs w:val="32"/>
        </w:rPr>
        <w:pgNum/>
      </w:r>
      <w:r>
        <w:rPr>
          <w:rFonts w:eastAsia="黑体"/>
          <w:bCs/>
          <w:vanish/>
          <w:sz w:val="32"/>
          <w:szCs w:val="32"/>
        </w:rPr>
        <w:pgNum/>
      </w:r>
      <w:r>
        <w:rPr>
          <w:rFonts w:eastAsia="黑体"/>
          <w:bCs/>
          <w:vanish/>
          <w:sz w:val="32"/>
          <w:szCs w:val="32"/>
        </w:rPr>
        <w:pgNum/>
      </w:r>
      <w:r>
        <w:rPr>
          <w:rFonts w:eastAsia="黑体"/>
          <w:bCs/>
          <w:vanish/>
          <w:sz w:val="32"/>
          <w:szCs w:val="32"/>
        </w:rPr>
        <w:pgNum/>
      </w:r>
      <w:r>
        <w:rPr>
          <w:rFonts w:eastAsia="黑体"/>
          <w:bCs/>
          <w:vanish/>
          <w:sz w:val="32"/>
          <w:szCs w:val="32"/>
        </w:rPr>
        <w:pgNum/>
      </w:r>
      <w:r>
        <w:rPr>
          <w:rFonts w:eastAsia="黑体"/>
          <w:bCs/>
          <w:vanish/>
          <w:sz w:val="32"/>
          <w:szCs w:val="32"/>
        </w:rPr>
        <w:pgNum/>
      </w:r>
      <w:r>
        <w:rPr>
          <w:rFonts w:eastAsia="黑体"/>
          <w:bCs/>
          <w:vanish/>
          <w:sz w:val="32"/>
          <w:szCs w:val="32"/>
        </w:rPr>
        <w:pgNum/>
      </w:r>
      <w:r>
        <w:rPr>
          <w:rFonts w:eastAsia="黑体"/>
          <w:bCs/>
          <w:vanish/>
          <w:sz w:val="32"/>
          <w:szCs w:val="32"/>
        </w:rPr>
        <w:pgNum/>
      </w:r>
      <w:r>
        <w:rPr>
          <w:rFonts w:eastAsia="黑体"/>
          <w:bCs/>
          <w:vanish/>
          <w:sz w:val="32"/>
          <w:szCs w:val="32"/>
        </w:rPr>
        <w:pgNum/>
      </w:r>
      <w:r>
        <w:rPr>
          <w:rFonts w:eastAsia="黑体"/>
          <w:bCs/>
          <w:vanish/>
          <w:sz w:val="32"/>
          <w:szCs w:val="32"/>
        </w:rPr>
        <w:pgNum/>
      </w:r>
      <w:r>
        <w:rPr>
          <w:rFonts w:eastAsia="黑体"/>
          <w:bCs/>
          <w:vanish/>
          <w:sz w:val="32"/>
          <w:szCs w:val="32"/>
        </w:rPr>
        <w:pgNum/>
      </w:r>
      <w:r>
        <w:rPr>
          <w:rFonts w:eastAsia="黑体"/>
          <w:bCs/>
          <w:vanish/>
          <w:sz w:val="32"/>
          <w:szCs w:val="32"/>
        </w:rPr>
        <w:pgNum/>
      </w:r>
      <w:r>
        <w:rPr>
          <w:rFonts w:eastAsia="黑体"/>
          <w:bCs/>
          <w:vanish/>
          <w:sz w:val="32"/>
          <w:szCs w:val="32"/>
        </w:rPr>
        <w:pgNum/>
      </w:r>
      <w:r>
        <w:rPr>
          <w:rFonts w:eastAsia="黑体"/>
          <w:bCs/>
          <w:vanish/>
          <w:sz w:val="32"/>
          <w:szCs w:val="32"/>
        </w:rPr>
        <w:pgNum/>
      </w:r>
      <w:r>
        <w:rPr>
          <w:rFonts w:eastAsia="黑体"/>
          <w:bCs/>
          <w:vanish/>
          <w:sz w:val="32"/>
          <w:szCs w:val="32"/>
        </w:rPr>
        <w:pgNum/>
      </w:r>
      <w:r>
        <w:rPr>
          <w:rFonts w:eastAsia="黑体"/>
          <w:bCs/>
          <w:vanish/>
          <w:sz w:val="32"/>
          <w:szCs w:val="32"/>
        </w:rPr>
        <w:pgNum/>
      </w:r>
      <w:r>
        <w:rPr>
          <w:rFonts w:eastAsia="黑体"/>
          <w:bCs/>
          <w:vanish/>
          <w:sz w:val="32"/>
          <w:szCs w:val="32"/>
        </w:rPr>
        <w:pgNum/>
      </w:r>
      <w:r>
        <w:rPr>
          <w:rFonts w:eastAsia="黑体"/>
          <w:bCs/>
          <w:vanish/>
          <w:sz w:val="32"/>
          <w:szCs w:val="32"/>
        </w:rPr>
        <w:pgNum/>
      </w:r>
      <w:r>
        <w:rPr>
          <w:rFonts w:eastAsia="黑体"/>
          <w:bCs/>
          <w:vanish/>
          <w:sz w:val="32"/>
          <w:szCs w:val="32"/>
        </w:rPr>
        <w:pgNum/>
      </w:r>
      <w:r>
        <w:rPr>
          <w:rFonts w:eastAsia="黑体"/>
          <w:bCs/>
          <w:vanish/>
          <w:sz w:val="32"/>
          <w:szCs w:val="32"/>
        </w:rPr>
        <w:pgNum/>
      </w:r>
      <w:r>
        <w:rPr>
          <w:rFonts w:eastAsia="黑体"/>
          <w:bCs/>
          <w:vanish/>
          <w:sz w:val="32"/>
          <w:szCs w:val="32"/>
        </w:rPr>
        <w:pgNum/>
      </w:r>
      <w:r>
        <w:rPr>
          <w:rFonts w:eastAsia="黑体"/>
          <w:bCs/>
          <w:vanish/>
          <w:sz w:val="32"/>
          <w:szCs w:val="32"/>
        </w:rPr>
        <w:pgNum/>
      </w:r>
      <w:r>
        <w:rPr>
          <w:rFonts w:eastAsia="黑体"/>
          <w:bCs/>
          <w:vanish/>
          <w:sz w:val="32"/>
          <w:szCs w:val="32"/>
        </w:rPr>
        <w:pgNum/>
      </w:r>
      <w:r>
        <w:rPr>
          <w:rFonts w:eastAsia="黑体"/>
          <w:bCs/>
          <w:vanish/>
          <w:sz w:val="32"/>
          <w:szCs w:val="32"/>
        </w:rPr>
        <w:pgNum/>
      </w:r>
      <w:r>
        <w:rPr>
          <w:rFonts w:eastAsia="黑体"/>
          <w:bCs/>
          <w:vanish/>
          <w:sz w:val="32"/>
          <w:szCs w:val="32"/>
        </w:rPr>
        <w:pgNum/>
      </w:r>
      <w:r>
        <w:rPr>
          <w:rFonts w:eastAsia="黑体"/>
          <w:bCs/>
          <w:vanish/>
          <w:sz w:val="32"/>
          <w:szCs w:val="32"/>
        </w:rPr>
        <w:pgNum/>
      </w:r>
      <w:r>
        <w:rPr>
          <w:rFonts w:eastAsia="黑体"/>
          <w:bCs/>
          <w:vanish/>
          <w:sz w:val="32"/>
          <w:szCs w:val="32"/>
        </w:rPr>
        <w:pgNum/>
      </w:r>
      <w:r>
        <w:rPr>
          <w:rFonts w:eastAsia="黑体"/>
          <w:bCs/>
          <w:sz w:val="32"/>
          <w:szCs w:val="32"/>
        </w:rPr>
        <w:t>第三十</w:t>
      </w:r>
      <w:r>
        <w:rPr>
          <w:rFonts w:hint="eastAsia" w:eastAsia="黑体"/>
          <w:bCs/>
          <w:sz w:val="32"/>
          <w:szCs w:val="32"/>
        </w:rPr>
        <w:t>三</w:t>
      </w:r>
      <w:r>
        <w:rPr>
          <w:rFonts w:eastAsia="黑体"/>
          <w:bCs/>
          <w:sz w:val="32"/>
          <w:szCs w:val="32"/>
        </w:rPr>
        <w:t xml:space="preserve">条  </w:t>
      </w:r>
      <w:r>
        <w:rPr>
          <w:rFonts w:hint="eastAsia" w:ascii="仿宋_GB2312" w:eastAsia="仿宋_GB2312"/>
          <w:sz w:val="32"/>
          <w:szCs w:val="32"/>
        </w:rPr>
        <w:t>本规定自</w:t>
      </w:r>
      <w:r>
        <w:rPr>
          <w:rFonts w:hint="eastAsia" w:ascii="仿宋_GB2312" w:hAnsi="黑体" w:eastAsia="仿宋_GB2312"/>
          <w:sz w:val="32"/>
          <w:szCs w:val="32"/>
        </w:rPr>
        <w:t>2016年9月1日</w:t>
      </w:r>
      <w:r>
        <w:rPr>
          <w:rFonts w:hint="eastAsia" w:ascii="仿宋_GB2312" w:eastAsia="仿宋_GB2312"/>
          <w:sz w:val="32"/>
          <w:szCs w:val="32"/>
        </w:rPr>
        <w:t>起施行。</w:t>
      </w:r>
    </w:p>
    <w:p>
      <w:pPr>
        <w:keepNext w:val="0"/>
        <w:keepLines w:val="0"/>
        <w:pageBreakBefore w:val="0"/>
        <w:kinsoku/>
        <w:wordWrap/>
        <w:overflowPunct/>
        <w:topLinePunct w:val="0"/>
        <w:bidi w:val="0"/>
        <w:spacing w:line="579" w:lineRule="exact"/>
        <w:ind w:left="0" w:leftChars="0" w:right="0" w:rightChars="0"/>
        <w:textAlignment w:val="auto"/>
        <w:rPr>
          <w:sz w:val="32"/>
          <w:szCs w:val="32"/>
        </w:rPr>
      </w:pPr>
    </w:p>
    <w:sectPr>
      <w:footerReference r:id="rId3" w:type="default"/>
      <w:footerReference r:id="rId4" w:type="even"/>
      <w:pgSz w:w="11906" w:h="16838"/>
      <w:pgMar w:top="2098" w:right="1474" w:bottom="1984" w:left="1587" w:header="851" w:footer="1701"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小标宋简体">
    <w:altName w:val="Arial Unicode MS"/>
    <w:panose1 w:val="02010601030101010101"/>
    <w:charset w:val="86"/>
    <w:family w:val="auto"/>
    <w:pitch w:val="default"/>
    <w:sig w:usb0="00000000" w:usb1="00000000" w:usb2="00000010" w:usb3="00000000" w:csb0="00040000"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80F3C52" w:usb2="00000016" w:usb3="00000000" w:csb0="0004001F" w:csb1="00000000"/>
  </w:font>
  <w:font w:name="Arial Unicode MS">
    <w:panose1 w:val="020B0604020202020204"/>
    <w:charset w:val="86"/>
    <w:family w:val="auto"/>
    <w:pitch w:val="default"/>
    <w:sig w:usb0="FFFFFFFF" w:usb1="E9FFFFFF" w:usb2="0000003F" w:usb3="00000000" w:csb0="603F01FF" w:csb1="FFFF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rPr>
        <w:sz w:val="18"/>
      </w:rP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center"/>
                  <w:textAlignment w:val="auto"/>
                  <w:outlineLvl w:val="9"/>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PAGE   \* MERGEFORMAT</w:instrText>
                </w:r>
                <w:r>
                  <w:rPr>
                    <w:rFonts w:hint="eastAsia" w:ascii="宋体" w:hAnsi="宋体" w:eastAsia="宋体" w:cs="宋体"/>
                    <w:sz w:val="28"/>
                    <w:szCs w:val="28"/>
                  </w:rPr>
                  <w:fldChar w:fldCharType="separate"/>
                </w:r>
                <w:r>
                  <w:rPr>
                    <w:rFonts w:hint="eastAsia" w:ascii="宋体" w:hAnsi="宋体" w:eastAsia="宋体" w:cs="宋体"/>
                    <w:sz w:val="28"/>
                    <w:szCs w:val="28"/>
                    <w:lang w:val="zh-CN"/>
                  </w:rPr>
                  <w:t>9</w:t>
                </w:r>
                <w:r>
                  <w:rPr>
                    <w:rFonts w:hint="eastAsia" w:ascii="宋体" w:hAnsi="宋体" w:eastAsia="宋体" w:cs="宋体"/>
                    <w:sz w:val="28"/>
                    <w:szCs w:val="28"/>
                  </w:rPr>
                  <w:fldChar w:fldCharType="end"/>
                </w:r>
              </w:p>
              <w:p/>
            </w:txbxContent>
          </v:textbox>
        </v:shape>
      </w:pict>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2050" o:spid="_x0000_s2050"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1D1A32A1"/>
    <w:rsid w:val="09EF35B0"/>
    <w:rsid w:val="14D97FA2"/>
    <w:rsid w:val="1D1A32A1"/>
    <w:rsid w:val="551004DA"/>
    <w:rsid w:val="6655306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3">
    <w:name w:val="Default Paragraph Font"/>
    <w:semiHidden/>
    <w:uiPriority w:val="0"/>
  </w:style>
  <w:style w:type="table" w:default="1" w:styleId="4">
    <w:name w:val="Normal Table"/>
    <w:semiHidden/>
    <w:uiPriority w:val="0"/>
    <w:tblPr>
      <w:tblStyle w:val="4"/>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2017-01-21T05:24:00Z</dcterms:created>
  <dc:creator>Administrator</dc:creator>
  <cp:lastModifiedBy>Administrator</cp:lastModifiedBy>
  <dcterms:modified xsi:type="dcterms:W3CDTF">2017-02-12T11:29:42Z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