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DC1" w:rsidRDefault="00B33DC1" w:rsidP="00B33DC1">
      <w:pPr>
        <w:widowControl/>
        <w:adjustRightInd w:val="0"/>
        <w:snapToGrid w:val="0"/>
        <w:spacing w:line="560" w:lineRule="exact"/>
        <w:jc w:val="center"/>
        <w:rPr>
          <w:rFonts w:ascii="Calibri" w:hint="eastAsia"/>
          <w:snapToGrid w:val="0"/>
          <w:color w:val="000000"/>
          <w:kern w:val="0"/>
        </w:rPr>
      </w:pPr>
      <w:bookmarkStart w:id="0" w:name="_GoBack"/>
      <w:r>
        <w:rPr>
          <w:rFonts w:ascii="方正小标宋简体" w:eastAsia="方正小标宋简体" w:hAnsi="方正小标宋简体" w:cs="方正小标宋简体" w:hint="eastAsia"/>
          <w:color w:val="000000"/>
          <w:sz w:val="44"/>
          <w:szCs w:val="44"/>
        </w:rPr>
        <w:t>海口市江东新区生态环境保护条例</w:t>
      </w:r>
    </w:p>
    <w:p w:rsidR="00B33DC1" w:rsidRDefault="00B33DC1" w:rsidP="00B33DC1">
      <w:pPr>
        <w:widowControl/>
        <w:adjustRightInd w:val="0"/>
        <w:snapToGrid w:val="0"/>
        <w:spacing w:line="560" w:lineRule="exact"/>
        <w:ind w:firstLineChars="200" w:firstLine="600"/>
        <w:jc w:val="left"/>
        <w:rPr>
          <w:rFonts w:ascii="楷体_GB2312" w:eastAsia="楷体_GB2312" w:cs="楷体_GB2312" w:hint="eastAsia"/>
          <w:snapToGrid w:val="0"/>
          <w:color w:val="000000"/>
          <w:kern w:val="0"/>
          <w:sz w:val="30"/>
          <w:szCs w:val="30"/>
        </w:rPr>
      </w:pPr>
    </w:p>
    <w:p w:rsidR="00B33DC1" w:rsidRDefault="00B33DC1" w:rsidP="00B33DC1">
      <w:pPr>
        <w:widowControl/>
        <w:adjustRightInd w:val="0"/>
        <w:snapToGrid w:val="0"/>
        <w:spacing w:line="560" w:lineRule="exact"/>
        <w:ind w:firstLineChars="200" w:firstLine="600"/>
        <w:jc w:val="left"/>
        <w:rPr>
          <w:rFonts w:ascii="楷体_GB2312" w:eastAsia="楷体_GB2312" w:cs="楷体_GB2312" w:hint="eastAsia"/>
          <w:snapToGrid w:val="0"/>
          <w:color w:val="000000"/>
          <w:kern w:val="0"/>
          <w:sz w:val="30"/>
          <w:szCs w:val="30"/>
        </w:rPr>
      </w:pPr>
      <w:r>
        <w:rPr>
          <w:rFonts w:ascii="楷体_GB2312" w:eastAsia="楷体_GB2312" w:cs="楷体_GB2312" w:hint="eastAsia"/>
          <w:snapToGrid w:val="0"/>
          <w:color w:val="000000"/>
          <w:kern w:val="0"/>
          <w:sz w:val="30"/>
          <w:szCs w:val="30"/>
        </w:rPr>
        <w:t>（2021年6月29日海口市第十六届人民代表大会常务委员会第四十六次会议通过  2021年7</w:t>
      </w:r>
      <w:r>
        <w:rPr>
          <w:rFonts w:ascii="楷体_GB2312" w:eastAsia="楷体_GB2312" w:cs="楷体_GB2312" w:hint="eastAsia"/>
          <w:snapToGrid w:val="0"/>
          <w:kern w:val="0"/>
          <w:sz w:val="30"/>
          <w:szCs w:val="30"/>
        </w:rPr>
        <w:t>月27日</w:t>
      </w:r>
      <w:r>
        <w:rPr>
          <w:rFonts w:ascii="楷体_GB2312" w:eastAsia="楷体_GB2312" w:cs="楷体_GB2312" w:hint="eastAsia"/>
          <w:snapToGrid w:val="0"/>
          <w:color w:val="000000"/>
          <w:kern w:val="0"/>
          <w:sz w:val="30"/>
          <w:szCs w:val="30"/>
        </w:rPr>
        <w:t>海南省第六届人民代表大会常务委员会第二十九次会议批准）</w:t>
      </w:r>
    </w:p>
    <w:p w:rsidR="00B33DC1" w:rsidRDefault="00B33DC1" w:rsidP="00B33DC1">
      <w:pPr>
        <w:widowControl/>
        <w:spacing w:line="600" w:lineRule="exact"/>
        <w:rPr>
          <w:rFonts w:cs="仿宋_GB2312" w:hint="eastAsia"/>
          <w:snapToGrid w:val="0"/>
          <w:color w:val="000000"/>
          <w:kern w:val="0"/>
        </w:rPr>
      </w:pPr>
    </w:p>
    <w:p w:rsidR="00B33DC1" w:rsidRDefault="00B33DC1" w:rsidP="00B33DC1">
      <w:pPr>
        <w:spacing w:line="620" w:lineRule="exact"/>
        <w:ind w:firstLineChars="200" w:firstLine="640"/>
      </w:pPr>
      <w:r>
        <w:rPr>
          <w:rFonts w:ascii="黑体" w:eastAsia="黑体" w:hAnsi="黑体" w:cs="黑体" w:hint="eastAsia"/>
        </w:rPr>
        <w:t>第一条</w:t>
      </w:r>
      <w:r>
        <w:t xml:space="preserve">  </w:t>
      </w:r>
      <w:r>
        <w:rPr>
          <w:rFonts w:hint="eastAsia"/>
        </w:rPr>
        <w:t>为了保护和改善</w:t>
      </w:r>
      <w:r>
        <w:rPr>
          <w:rFonts w:hAnsi="黑体" w:hint="eastAsia"/>
        </w:rPr>
        <w:t>海南自由贸易港海口江东新区（以下简称江东新区）</w:t>
      </w:r>
      <w:r>
        <w:rPr>
          <w:rFonts w:hint="eastAsia"/>
        </w:rPr>
        <w:t>生态环境，</w:t>
      </w:r>
      <w:r>
        <w:rPr>
          <w:rFonts w:hAnsi="黑体" w:hint="eastAsia"/>
        </w:rPr>
        <w:t>推进国家生态文明试验区建设</w:t>
      </w:r>
      <w:r>
        <w:rPr>
          <w:rFonts w:hint="eastAsia"/>
        </w:rPr>
        <w:t>，根据</w:t>
      </w:r>
      <w:r>
        <w:rPr>
          <w:rFonts w:hAnsi="仿宋_GB2312" w:hint="eastAsia"/>
        </w:rPr>
        <w:t>《中华人民共和国海南自由贸易港法》</w:t>
      </w:r>
      <w:r>
        <w:rPr>
          <w:rFonts w:hint="eastAsia"/>
        </w:rPr>
        <w:t>《中华人民共和国环境保护法》</w:t>
      </w:r>
      <w:r>
        <w:rPr>
          <w:rFonts w:hAnsi="仿宋_GB2312" w:hint="eastAsia"/>
        </w:rPr>
        <w:t>《海南自由贸易港海口江东新区条例》等法律、法规，结合江</w:t>
      </w:r>
      <w:r>
        <w:rPr>
          <w:rFonts w:hint="eastAsia"/>
        </w:rPr>
        <w:t>东新区实际，制定本条例。</w:t>
      </w:r>
    </w:p>
    <w:p w:rsidR="00B33DC1" w:rsidRDefault="00B33DC1" w:rsidP="00B33DC1">
      <w:pPr>
        <w:spacing w:line="620" w:lineRule="exact"/>
        <w:ind w:firstLineChars="200" w:firstLine="640"/>
      </w:pPr>
      <w:r>
        <w:rPr>
          <w:rFonts w:ascii="黑体" w:eastAsia="黑体" w:hAnsi="黑体" w:cs="黑体" w:hint="eastAsia"/>
        </w:rPr>
        <w:t>第二条</w:t>
      </w:r>
      <w:r>
        <w:t xml:space="preserve">  </w:t>
      </w:r>
      <w:r>
        <w:rPr>
          <w:rFonts w:hint="eastAsia"/>
        </w:rPr>
        <w:t>本条例适用于江东新区生态环境保护及其相关监督管理活动。</w:t>
      </w:r>
    </w:p>
    <w:p w:rsidR="00B33DC1" w:rsidRDefault="00B33DC1" w:rsidP="00B33DC1">
      <w:pPr>
        <w:spacing w:line="620" w:lineRule="exact"/>
        <w:ind w:firstLineChars="200" w:firstLine="640"/>
      </w:pPr>
      <w:r>
        <w:rPr>
          <w:rFonts w:hint="eastAsia"/>
        </w:rPr>
        <w:t>江东新区范围依据《海口江东新区总体规划》确定。</w:t>
      </w:r>
    </w:p>
    <w:p w:rsidR="00B33DC1" w:rsidRDefault="00B33DC1" w:rsidP="00B33DC1">
      <w:pPr>
        <w:spacing w:line="620" w:lineRule="exact"/>
        <w:ind w:firstLineChars="200" w:firstLine="640"/>
        <w:rPr>
          <w:rFonts w:ascii="黑体" w:eastAsia="黑体" w:hAnsi="黑体"/>
        </w:rPr>
      </w:pPr>
      <w:r>
        <w:rPr>
          <w:rFonts w:ascii="黑体" w:eastAsia="黑体" w:hAnsi="黑体" w:cs="黑体" w:hint="eastAsia"/>
        </w:rPr>
        <w:t>第三条</w:t>
      </w:r>
      <w:r>
        <w:rPr>
          <w:rFonts w:ascii="黑体" w:eastAsia="黑体" w:hAnsi="黑体" w:cs="黑体"/>
        </w:rPr>
        <w:t xml:space="preserve">  </w:t>
      </w:r>
      <w:r>
        <w:rPr>
          <w:rFonts w:hAnsi="黑体" w:hint="eastAsia"/>
        </w:rPr>
        <w:t>江东新区应当按照海南自由贸易港建设的有关要求，坚持生态优先、绿色发展，对标世界领先水平的生态环境质量和资源利用效率，建设成国家生态文明试验区的展示区和全球领先的国际化生态新城。</w:t>
      </w:r>
    </w:p>
    <w:p w:rsidR="00B33DC1" w:rsidRDefault="00B33DC1" w:rsidP="00B33DC1">
      <w:pPr>
        <w:spacing w:line="620" w:lineRule="exact"/>
        <w:ind w:firstLineChars="200" w:firstLine="640"/>
        <w:rPr>
          <w:rFonts w:hAnsi="黑体"/>
        </w:rPr>
      </w:pPr>
      <w:r>
        <w:rPr>
          <w:rFonts w:ascii="黑体" w:eastAsia="黑体" w:hAnsi="黑体" w:cs="黑体" w:hint="eastAsia"/>
        </w:rPr>
        <w:t>第四条</w:t>
      </w:r>
      <w:r>
        <w:rPr>
          <w:rFonts w:ascii="黑体" w:eastAsia="黑体" w:hAnsi="黑体" w:cs="黑体"/>
        </w:rPr>
        <w:t xml:space="preserve">  </w:t>
      </w:r>
      <w:r>
        <w:rPr>
          <w:rFonts w:hAnsi="黑体" w:hint="eastAsia"/>
        </w:rPr>
        <w:t>市人民政府应当加强对江东新区生态环境保护工作的统一领导，建立江东新区生态环境保护协调机制，协调解决江东新区生态环境保护的重大问题。</w:t>
      </w:r>
    </w:p>
    <w:p w:rsidR="00B33DC1" w:rsidRDefault="00B33DC1" w:rsidP="00B33DC1">
      <w:pPr>
        <w:spacing w:line="620" w:lineRule="exact"/>
        <w:ind w:firstLineChars="200" w:firstLine="640"/>
        <w:rPr>
          <w:rFonts w:hAnsi="黑体"/>
        </w:rPr>
      </w:pPr>
      <w:r>
        <w:rPr>
          <w:rFonts w:hAnsi="黑体" w:hint="eastAsia"/>
        </w:rPr>
        <w:t>相关区、镇人民政府和街道办事处负责做好本辖区内的江东新区生态环境保护工作。</w:t>
      </w:r>
    </w:p>
    <w:p w:rsidR="00B33DC1" w:rsidRDefault="00B33DC1" w:rsidP="00B33DC1">
      <w:pPr>
        <w:spacing w:line="620" w:lineRule="exact"/>
        <w:ind w:firstLineChars="200" w:firstLine="640"/>
      </w:pPr>
      <w:r>
        <w:rPr>
          <w:rFonts w:ascii="黑体" w:eastAsia="黑体" w:hAnsi="黑体" w:cs="黑体" w:hint="eastAsia"/>
        </w:rPr>
        <w:lastRenderedPageBreak/>
        <w:t>第五条</w:t>
      </w:r>
      <w:r>
        <w:t xml:space="preserve">  </w:t>
      </w:r>
      <w:r>
        <w:rPr>
          <w:rFonts w:hint="eastAsia"/>
        </w:rPr>
        <w:t>市生态环境行政主管部门对江东新区的</w:t>
      </w:r>
      <w:r>
        <w:rPr>
          <w:rFonts w:hAnsi="黑体" w:hint="eastAsia"/>
        </w:rPr>
        <w:t>生态</w:t>
      </w:r>
      <w:r>
        <w:rPr>
          <w:rFonts w:hint="eastAsia"/>
        </w:rPr>
        <w:t>环境保护工作实施统一监督管理。</w:t>
      </w:r>
    </w:p>
    <w:p w:rsidR="00B33DC1" w:rsidRDefault="00B33DC1" w:rsidP="00B33DC1">
      <w:pPr>
        <w:spacing w:line="620" w:lineRule="exact"/>
        <w:ind w:firstLineChars="200" w:firstLine="640"/>
      </w:pPr>
      <w:r>
        <w:rPr>
          <w:rFonts w:hint="eastAsia"/>
        </w:rPr>
        <w:t>市</w:t>
      </w:r>
      <w:r>
        <w:rPr>
          <w:rFonts w:hAnsi="黑体" w:hint="eastAsia"/>
        </w:rPr>
        <w:t>发展和改革、</w:t>
      </w:r>
      <w:r>
        <w:rPr>
          <w:rFonts w:hint="eastAsia"/>
        </w:rPr>
        <w:t>自然资源</w:t>
      </w:r>
      <w:r>
        <w:rPr>
          <w:rFonts w:hAnsi="黑体" w:hint="eastAsia"/>
        </w:rPr>
        <w:t>和</w:t>
      </w:r>
      <w:r>
        <w:rPr>
          <w:rFonts w:hint="eastAsia"/>
        </w:rPr>
        <w:t>规划、水务、林业、农业农村、</w:t>
      </w:r>
      <w:r>
        <w:rPr>
          <w:rFonts w:hAnsi="黑体" w:hint="eastAsia"/>
        </w:rPr>
        <w:t>园林和环境卫生、</w:t>
      </w:r>
      <w:r>
        <w:rPr>
          <w:rFonts w:hint="eastAsia"/>
        </w:rPr>
        <w:t>住房和城乡建设、交通运输和港航管理、公安、市场监督管理、</w:t>
      </w:r>
      <w:r>
        <w:rPr>
          <w:rFonts w:hAnsi="黑体" w:hint="eastAsia"/>
        </w:rPr>
        <w:t>综合行政执法</w:t>
      </w:r>
      <w:r>
        <w:rPr>
          <w:rFonts w:hint="eastAsia"/>
        </w:rPr>
        <w:t>等部门应当按照各自职责，做好江东新区生态环境保护的相关工作。</w:t>
      </w:r>
    </w:p>
    <w:p w:rsidR="00B33DC1" w:rsidRDefault="00B33DC1" w:rsidP="00B33DC1">
      <w:pPr>
        <w:spacing w:line="620" w:lineRule="exact"/>
        <w:ind w:firstLineChars="200" w:firstLine="640"/>
      </w:pPr>
      <w:r>
        <w:rPr>
          <w:rFonts w:hint="eastAsia"/>
        </w:rPr>
        <w:t>江东新区管理</w:t>
      </w:r>
      <w:r>
        <w:rPr>
          <w:rFonts w:hAnsi="黑体" w:hint="eastAsia"/>
        </w:rPr>
        <w:t>机构</w:t>
      </w:r>
      <w:r>
        <w:rPr>
          <w:rFonts w:hint="eastAsia"/>
        </w:rPr>
        <w:t>依照授权</w:t>
      </w:r>
      <w:r>
        <w:rPr>
          <w:rFonts w:hAnsi="黑体" w:hint="eastAsia"/>
        </w:rPr>
        <w:t>或者委托</w:t>
      </w:r>
      <w:r>
        <w:rPr>
          <w:rFonts w:hint="eastAsia"/>
        </w:rPr>
        <w:t>，负责江东新区生态环境保护</w:t>
      </w:r>
      <w:r>
        <w:rPr>
          <w:rFonts w:hAnsi="黑体" w:hint="eastAsia"/>
        </w:rPr>
        <w:t>的相关管理</w:t>
      </w:r>
      <w:r>
        <w:rPr>
          <w:rFonts w:hint="eastAsia"/>
        </w:rPr>
        <w:t>工作。</w:t>
      </w:r>
    </w:p>
    <w:p w:rsidR="00B33DC1" w:rsidRDefault="00B33DC1" w:rsidP="00B33DC1">
      <w:pPr>
        <w:pStyle w:val="a6"/>
        <w:spacing w:line="620" w:lineRule="exact"/>
        <w:ind w:firstLine="640"/>
        <w:rPr>
          <w:rFonts w:hAnsi="黑体" w:cs="Times New Roman"/>
        </w:rPr>
      </w:pPr>
      <w:r>
        <w:rPr>
          <w:rFonts w:ascii="黑体" w:eastAsia="黑体" w:hAnsi="黑体" w:cs="黑体" w:hint="eastAsia"/>
        </w:rPr>
        <w:t>第六条</w:t>
      </w:r>
      <w:r>
        <w:t xml:space="preserve">  </w:t>
      </w:r>
      <w:r>
        <w:rPr>
          <w:rFonts w:hAnsi="黑体" w:hint="eastAsia"/>
        </w:rPr>
        <w:t>江东新区的开发建设应当落实《海口江东新区总体规划》中的生态环境保护要求，实行最严格的节约用地制度和自然生态空间用途管制，蓝绿空间占比不低于江东新区规划面积的百分之七十。</w:t>
      </w:r>
    </w:p>
    <w:p w:rsidR="00B33DC1" w:rsidRDefault="00B33DC1" w:rsidP="00B33DC1">
      <w:pPr>
        <w:spacing w:line="620" w:lineRule="exact"/>
        <w:ind w:firstLineChars="200" w:firstLine="640"/>
      </w:pPr>
      <w:r>
        <w:rPr>
          <w:rFonts w:ascii="黑体" w:eastAsia="黑体" w:hAnsi="黑体" w:cs="黑体" w:hint="eastAsia"/>
        </w:rPr>
        <w:t>第七条</w:t>
      </w:r>
      <w:r>
        <w:t xml:space="preserve">  </w:t>
      </w:r>
      <w:r>
        <w:rPr>
          <w:rFonts w:hAnsi="黑体" w:hint="eastAsia"/>
        </w:rPr>
        <w:t>市人民政府应当在江东新区建立生态环境保护与产业发展相融合的机制，构建绿色产业体系，</w:t>
      </w:r>
      <w:r>
        <w:rPr>
          <w:rFonts w:hint="eastAsia"/>
        </w:rPr>
        <w:t>实行</w:t>
      </w:r>
      <w:r>
        <w:rPr>
          <w:rFonts w:hAnsi="黑体" w:hint="eastAsia"/>
        </w:rPr>
        <w:t>生态环境准入清单和</w:t>
      </w:r>
      <w:r>
        <w:rPr>
          <w:rFonts w:hint="eastAsia"/>
        </w:rPr>
        <w:t>产业准入负面清单制度，</w:t>
      </w:r>
      <w:r>
        <w:rPr>
          <w:rFonts w:hAnsi="黑体" w:hint="eastAsia"/>
        </w:rPr>
        <w:t>不得</w:t>
      </w:r>
      <w:r>
        <w:rPr>
          <w:rFonts w:hint="eastAsia"/>
        </w:rPr>
        <w:t>引进高污染、高排放、高耗能项目。</w:t>
      </w:r>
    </w:p>
    <w:p w:rsidR="00B33DC1" w:rsidRDefault="00B33DC1" w:rsidP="00B33DC1">
      <w:pPr>
        <w:pStyle w:val="a6"/>
        <w:spacing w:line="620" w:lineRule="exact"/>
        <w:ind w:firstLine="640"/>
        <w:rPr>
          <w:rFonts w:cs="Times New Roman"/>
        </w:rPr>
      </w:pPr>
      <w:r>
        <w:rPr>
          <w:rFonts w:hAnsi="黑体" w:hint="eastAsia"/>
        </w:rPr>
        <w:t>江东新区管理机构和有关部门应当按照相关规划和清单，严格建设项目审批，加强事中事后监管，落实生态环境保护责任。</w:t>
      </w:r>
    </w:p>
    <w:p w:rsidR="00B33DC1" w:rsidRDefault="00B33DC1" w:rsidP="00B33DC1">
      <w:pPr>
        <w:pStyle w:val="a6"/>
        <w:spacing w:line="620" w:lineRule="exact"/>
        <w:ind w:firstLine="640"/>
        <w:rPr>
          <w:rFonts w:hAnsi="黑体" w:cs="Times New Roman"/>
        </w:rPr>
      </w:pPr>
      <w:r>
        <w:rPr>
          <w:rFonts w:hAnsi="黑体" w:hint="eastAsia"/>
        </w:rPr>
        <w:t>鼓励和支持在江东新区开发利用太阳能等可再生能源，开展绿色低碳循环技术创新，实施碳排放控制。新建、改建和扩建的建设项目，应当根据有关技术规范，在设计和施工</w:t>
      </w:r>
      <w:r>
        <w:rPr>
          <w:rFonts w:hAnsi="黑体" w:hint="eastAsia"/>
        </w:rPr>
        <w:lastRenderedPageBreak/>
        <w:t>中为太阳能利用提供必备条件。</w:t>
      </w:r>
    </w:p>
    <w:p w:rsidR="00B33DC1" w:rsidRDefault="00B33DC1" w:rsidP="00B33DC1">
      <w:pPr>
        <w:pStyle w:val="a6"/>
        <w:spacing w:line="620" w:lineRule="exact"/>
        <w:ind w:firstLine="640"/>
        <w:rPr>
          <w:rFonts w:hAnsi="黑体" w:cs="Times New Roman"/>
        </w:rPr>
      </w:pPr>
      <w:r>
        <w:rPr>
          <w:rFonts w:ascii="黑体" w:eastAsia="黑体" w:hAnsi="黑体" w:cs="黑体" w:hint="eastAsia"/>
        </w:rPr>
        <w:t>第八条</w:t>
      </w:r>
      <w:r>
        <w:rPr>
          <w:rFonts w:ascii="黑体" w:eastAsia="黑体" w:hAnsi="黑体" w:cs="黑体"/>
        </w:rPr>
        <w:t xml:space="preserve">  </w:t>
      </w:r>
      <w:r>
        <w:rPr>
          <w:rFonts w:hAnsi="黑体" w:hint="eastAsia"/>
        </w:rPr>
        <w:t>市人民政府应当科学规划建设江东新区综合能源（集中供冷）站及配套的智慧能源服务平台，推动能源利用的清洁化、低碳化、高效化。</w:t>
      </w:r>
    </w:p>
    <w:p w:rsidR="00B33DC1" w:rsidRDefault="00B33DC1" w:rsidP="00B33DC1">
      <w:pPr>
        <w:spacing w:line="620" w:lineRule="exact"/>
        <w:ind w:firstLineChars="200" w:firstLine="640"/>
        <w:rPr>
          <w:rFonts w:hAnsi="黑体"/>
        </w:rPr>
      </w:pPr>
      <w:r>
        <w:rPr>
          <w:rFonts w:ascii="黑体" w:eastAsia="黑体" w:hAnsi="黑体" w:cs="黑体" w:hint="eastAsia"/>
        </w:rPr>
        <w:t>第九条</w:t>
      </w:r>
      <w:r>
        <w:rPr>
          <w:rFonts w:ascii="黑体" w:eastAsia="黑体" w:hAnsi="黑体" w:cs="黑体"/>
        </w:rPr>
        <w:t xml:space="preserve">  </w:t>
      </w:r>
      <w:r>
        <w:rPr>
          <w:rFonts w:hAnsi="黑体" w:hint="eastAsia"/>
        </w:rPr>
        <w:t>市人民政府应当在江东新区科学规划建设电动汽车充电、换电场所和设施，引导驻江东新区的单位和居民使用清洁能源车辆。</w:t>
      </w:r>
    </w:p>
    <w:p w:rsidR="00B33DC1" w:rsidRDefault="00B33DC1" w:rsidP="00B33DC1">
      <w:pPr>
        <w:spacing w:line="620" w:lineRule="exact"/>
        <w:ind w:firstLineChars="200" w:firstLine="640"/>
        <w:rPr>
          <w:rFonts w:hAnsi="黑体"/>
        </w:rPr>
      </w:pPr>
      <w:r>
        <w:rPr>
          <w:rFonts w:hAnsi="黑体" w:hint="eastAsia"/>
        </w:rPr>
        <w:t>在江东新区运行的公共汽车、景区旅游观光车应当使用清洁能源车辆。</w:t>
      </w:r>
    </w:p>
    <w:p w:rsidR="00B33DC1" w:rsidRDefault="00B33DC1" w:rsidP="00B33DC1">
      <w:pPr>
        <w:spacing w:line="620" w:lineRule="exact"/>
        <w:ind w:firstLineChars="200" w:firstLine="640"/>
        <w:rPr>
          <w:rFonts w:hAnsi="黑体"/>
        </w:rPr>
      </w:pPr>
      <w:r>
        <w:rPr>
          <w:rFonts w:ascii="黑体" w:eastAsia="黑体" w:hAnsi="黑体" w:cs="黑体" w:hint="eastAsia"/>
        </w:rPr>
        <w:t>第十条</w:t>
      </w:r>
      <w:r>
        <w:rPr>
          <w:rFonts w:ascii="黑体" w:eastAsia="黑体" w:hAnsi="黑体" w:cs="黑体"/>
        </w:rPr>
        <w:t xml:space="preserve">  </w:t>
      </w:r>
      <w:r>
        <w:rPr>
          <w:rFonts w:hAnsi="黑体" w:hint="eastAsia"/>
        </w:rPr>
        <w:t>市人民政府应当促进江东新区</w:t>
      </w:r>
      <w:r>
        <w:rPr>
          <w:rFonts w:hint="eastAsia"/>
        </w:rPr>
        <w:t>装配式建筑</w:t>
      </w:r>
      <w:r>
        <w:rPr>
          <w:rFonts w:hAnsi="黑体" w:hint="eastAsia"/>
        </w:rPr>
        <w:t>发展，使江东新区新建项目中装配式建筑占比高于全市占比。</w:t>
      </w:r>
    </w:p>
    <w:p w:rsidR="00B33DC1" w:rsidRDefault="00B33DC1" w:rsidP="00B33DC1">
      <w:pPr>
        <w:spacing w:line="620" w:lineRule="exact"/>
        <w:ind w:firstLineChars="200" w:firstLine="640"/>
      </w:pPr>
      <w:r>
        <w:rPr>
          <w:rFonts w:hAnsi="黑体" w:hint="eastAsia"/>
        </w:rPr>
        <w:t>江东新区符合装配式建造条件的项目，除因技术原因无法采用的外，应当依法</w:t>
      </w:r>
      <w:r>
        <w:rPr>
          <w:rFonts w:hint="eastAsia"/>
        </w:rPr>
        <w:t>采用装配式方式建造。</w:t>
      </w:r>
    </w:p>
    <w:p w:rsidR="00B33DC1" w:rsidRDefault="00B33DC1" w:rsidP="00B33DC1">
      <w:pPr>
        <w:pStyle w:val="a6"/>
        <w:spacing w:line="620" w:lineRule="exact"/>
        <w:ind w:firstLine="640"/>
        <w:rPr>
          <w:rFonts w:ascii="黑体" w:eastAsia="黑体" w:hAnsi="黑体" w:cs="Times New Roman"/>
        </w:rPr>
      </w:pPr>
      <w:r>
        <w:rPr>
          <w:rFonts w:ascii="黑体" w:eastAsia="黑体" w:hAnsi="黑体" w:cs="黑体" w:hint="eastAsia"/>
        </w:rPr>
        <w:t>第十一条</w:t>
      </w:r>
      <w:r>
        <w:rPr>
          <w:rFonts w:ascii="黑体" w:eastAsia="黑体" w:hAnsi="黑体" w:cs="黑体"/>
        </w:rPr>
        <w:t xml:space="preserve">  </w:t>
      </w:r>
      <w:r>
        <w:rPr>
          <w:rFonts w:hAnsi="黑体" w:hint="eastAsia"/>
        </w:rPr>
        <w:t>市人民政府及其有关部门应当加强对生态空间的保护，重点保护东寨港国家级自然保护区、三江湿地公园、北港岛海洋公园等核心生态资源，保障江东新区生态系统完整性。</w:t>
      </w:r>
    </w:p>
    <w:p w:rsidR="00B33DC1" w:rsidRDefault="00B33DC1" w:rsidP="00B33DC1">
      <w:pPr>
        <w:pStyle w:val="a6"/>
        <w:spacing w:line="620" w:lineRule="exact"/>
        <w:ind w:firstLine="640"/>
        <w:rPr>
          <w:rFonts w:hAnsi="黑体" w:cs="Times New Roman"/>
        </w:rPr>
      </w:pPr>
      <w:r>
        <w:rPr>
          <w:rFonts w:ascii="黑体" w:eastAsia="黑体" w:hAnsi="黑体" w:cs="黑体" w:hint="eastAsia"/>
        </w:rPr>
        <w:t>第十二条</w:t>
      </w:r>
      <w:r>
        <w:rPr>
          <w:rFonts w:ascii="黑体" w:eastAsia="黑体" w:hAnsi="黑体" w:cs="黑体"/>
        </w:rPr>
        <w:t xml:space="preserve">  </w:t>
      </w:r>
      <w:r>
        <w:rPr>
          <w:rFonts w:hAnsi="黑体" w:hint="eastAsia"/>
        </w:rPr>
        <w:t>市人民政府应当实行政府主导、企业和社会参与、市场化运作、可持续的生态保护补偿机制，以退塘还林还湿等方式，对东寨港国家级自然保护区、三江湿地公园、南渡江岸线、迈雅河等进行生态修复。</w:t>
      </w:r>
    </w:p>
    <w:p w:rsidR="00B33DC1" w:rsidRDefault="00B33DC1" w:rsidP="00B33DC1">
      <w:pPr>
        <w:pStyle w:val="a6"/>
        <w:spacing w:line="620" w:lineRule="exact"/>
        <w:ind w:firstLine="640"/>
        <w:rPr>
          <w:rFonts w:hAnsi="黑体" w:cs="Times New Roman"/>
        </w:rPr>
      </w:pPr>
      <w:r>
        <w:rPr>
          <w:rFonts w:hAnsi="黑体" w:hint="eastAsia"/>
        </w:rPr>
        <w:t>市人民政府应当采取有效措施贯通江东新区水系，连通</w:t>
      </w:r>
      <w:r>
        <w:rPr>
          <w:rFonts w:hAnsi="黑体" w:hint="eastAsia"/>
        </w:rPr>
        <w:lastRenderedPageBreak/>
        <w:t>南渡江与迈雅河、道孟河、南岳溪等河流，建设滨水生态休闲景观和配套设施，实现人与自然和谐共生。</w:t>
      </w:r>
    </w:p>
    <w:p w:rsidR="00B33DC1" w:rsidRDefault="00B33DC1" w:rsidP="00B33DC1">
      <w:pPr>
        <w:pStyle w:val="a6"/>
        <w:spacing w:line="620" w:lineRule="exact"/>
        <w:ind w:firstLine="640"/>
        <w:rPr>
          <w:rFonts w:hAnsi="黑体" w:cs="Times New Roman"/>
        </w:rPr>
      </w:pPr>
      <w:r>
        <w:rPr>
          <w:rFonts w:ascii="黑体" w:eastAsia="黑体" w:hAnsi="黑体" w:cs="黑体" w:hint="eastAsia"/>
        </w:rPr>
        <w:t>第十三条</w:t>
      </w:r>
      <w:r>
        <w:rPr>
          <w:rFonts w:ascii="黑体" w:eastAsia="黑体" w:hAnsi="黑体" w:cs="黑体"/>
        </w:rPr>
        <w:t xml:space="preserve">  </w:t>
      </w:r>
      <w:r>
        <w:rPr>
          <w:rFonts w:hAnsi="黑体" w:hint="eastAsia"/>
        </w:rPr>
        <w:t>市、区人民政府及其有关部门应当优先保障建设资金，高标准建设江东新区城镇污水处理设施及配套管网，并利用三维可视化等技术手段提升城市地下管网数字化管理水平，实现雨水、污水分流和污水集中处理，推动区域再生水循环利用。</w:t>
      </w:r>
    </w:p>
    <w:p w:rsidR="00B33DC1" w:rsidRDefault="00B33DC1" w:rsidP="00B33DC1">
      <w:pPr>
        <w:pStyle w:val="a6"/>
        <w:spacing w:line="620" w:lineRule="exact"/>
        <w:ind w:firstLine="640"/>
        <w:rPr>
          <w:rFonts w:hAnsi="黑体" w:cs="Times New Roman"/>
        </w:rPr>
      </w:pPr>
      <w:r>
        <w:rPr>
          <w:rFonts w:hAnsi="黑体" w:hint="eastAsia"/>
        </w:rPr>
        <w:t>江东新区农村生活污水可以纳入城镇污水管网的，纳入进行集中处理；未能纳入城镇污水管网的，应当就地收集处理，达标排放。</w:t>
      </w:r>
    </w:p>
    <w:p w:rsidR="00B33DC1" w:rsidRDefault="00B33DC1" w:rsidP="00B33DC1">
      <w:pPr>
        <w:pStyle w:val="a6"/>
        <w:spacing w:line="620" w:lineRule="exact"/>
        <w:ind w:firstLine="640"/>
        <w:rPr>
          <w:rFonts w:hAnsi="黑体" w:cs="Times New Roman"/>
        </w:rPr>
      </w:pPr>
      <w:r>
        <w:rPr>
          <w:rFonts w:ascii="黑体" w:eastAsia="黑体" w:hAnsi="黑体" w:cs="黑体" w:hint="eastAsia"/>
        </w:rPr>
        <w:t>第十四条</w:t>
      </w:r>
      <w:r>
        <w:rPr>
          <w:rFonts w:ascii="黑体" w:eastAsia="黑体" w:hAnsi="黑体" w:cs="黑体"/>
        </w:rPr>
        <w:t xml:space="preserve">  </w:t>
      </w:r>
      <w:r>
        <w:rPr>
          <w:rFonts w:hAnsi="黑体" w:hint="eastAsia"/>
        </w:rPr>
        <w:t>市人民政府及其有关部门应当全面排查江东新区水环境污染源，组织实施水污染防治工作，向社会公布河湖管理保护相关信息。</w:t>
      </w:r>
    </w:p>
    <w:p w:rsidR="00B33DC1" w:rsidRDefault="00B33DC1" w:rsidP="00B33DC1">
      <w:pPr>
        <w:pStyle w:val="a6"/>
        <w:spacing w:line="620" w:lineRule="exact"/>
        <w:ind w:firstLine="640"/>
        <w:rPr>
          <w:rFonts w:hAnsi="黑体" w:cs="Times New Roman"/>
        </w:rPr>
      </w:pPr>
      <w:r>
        <w:rPr>
          <w:rFonts w:hAnsi="黑体" w:hint="eastAsia"/>
        </w:rPr>
        <w:t>江东新区地表水的水质应当优于国家、省对地表水的水质要求。</w:t>
      </w:r>
    </w:p>
    <w:p w:rsidR="00B33DC1" w:rsidRDefault="00B33DC1" w:rsidP="00B33DC1">
      <w:pPr>
        <w:spacing w:line="620" w:lineRule="exact"/>
        <w:ind w:firstLineChars="200" w:firstLine="640"/>
      </w:pPr>
      <w:r>
        <w:rPr>
          <w:rFonts w:ascii="黑体" w:eastAsia="黑体" w:hAnsi="黑体" w:cs="黑体" w:hint="eastAsia"/>
        </w:rPr>
        <w:t>第十五条</w:t>
      </w:r>
      <w:r>
        <w:rPr>
          <w:rFonts w:hAnsi="黑体"/>
        </w:rPr>
        <w:t xml:space="preserve">  </w:t>
      </w:r>
      <w:r>
        <w:rPr>
          <w:rFonts w:hAnsi="黑体" w:hint="eastAsia"/>
        </w:rPr>
        <w:t>市人民政府应当在江东新区建立城乡一体的生活垃圾管理系统，</w:t>
      </w:r>
      <w:r>
        <w:rPr>
          <w:rFonts w:hint="eastAsia"/>
        </w:rPr>
        <w:t>规范设置生活垃圾收集、转运设施，</w:t>
      </w:r>
      <w:r>
        <w:rPr>
          <w:rFonts w:hAnsi="黑体" w:hint="eastAsia"/>
        </w:rPr>
        <w:t>实行生活垃圾分类投放、分类收集、分类运输、分类处理。</w:t>
      </w:r>
    </w:p>
    <w:p w:rsidR="00B33DC1" w:rsidRDefault="00B33DC1" w:rsidP="00B33DC1">
      <w:pPr>
        <w:pStyle w:val="a6"/>
        <w:spacing w:line="620" w:lineRule="exact"/>
        <w:ind w:firstLine="640"/>
        <w:rPr>
          <w:rFonts w:hAnsi="黑体" w:cs="Times New Roman"/>
        </w:rPr>
      </w:pPr>
      <w:r>
        <w:rPr>
          <w:rFonts w:hAnsi="黑体" w:hint="eastAsia"/>
        </w:rPr>
        <w:t>市人民政府应当统筹规划设置江东新区建筑垃圾消纳、综合利用等设施，对建筑垃圾实行减量化、资源化、无害化处置。</w:t>
      </w:r>
    </w:p>
    <w:p w:rsidR="00B33DC1" w:rsidRDefault="00B33DC1" w:rsidP="00B33DC1">
      <w:pPr>
        <w:pStyle w:val="a6"/>
        <w:spacing w:line="620" w:lineRule="exact"/>
        <w:ind w:firstLine="640"/>
        <w:rPr>
          <w:rFonts w:hAnsi="黑体" w:cs="Times New Roman"/>
        </w:rPr>
      </w:pPr>
      <w:r>
        <w:rPr>
          <w:rFonts w:ascii="黑体" w:eastAsia="黑体" w:hAnsi="黑体" w:cs="黑体" w:hint="eastAsia"/>
        </w:rPr>
        <w:t>第十六条</w:t>
      </w:r>
      <w:r>
        <w:rPr>
          <w:rFonts w:ascii="黑体" w:eastAsia="黑体" w:hAnsi="黑体" w:cs="黑体"/>
        </w:rPr>
        <w:t xml:space="preserve">  </w:t>
      </w:r>
      <w:r>
        <w:rPr>
          <w:rFonts w:hAnsi="黑体" w:hint="eastAsia"/>
        </w:rPr>
        <w:t>农业农村行政主管部门应当会同有关单位</w:t>
      </w:r>
      <w:r>
        <w:rPr>
          <w:rFonts w:hAnsi="黑体" w:hint="eastAsia"/>
        </w:rPr>
        <w:lastRenderedPageBreak/>
        <w:t>规范江东新区畜禽散养行为，指导畜禽养殖户建设污染防治配套设施，对畜禽粪便、污水进行科学处理和资源化利用。</w:t>
      </w:r>
    </w:p>
    <w:p w:rsidR="00B33DC1" w:rsidRDefault="00B33DC1" w:rsidP="00B33DC1">
      <w:pPr>
        <w:pStyle w:val="a6"/>
        <w:spacing w:line="620" w:lineRule="exact"/>
        <w:ind w:firstLine="640"/>
        <w:rPr>
          <w:rFonts w:hAnsi="黑体" w:cs="Times New Roman"/>
        </w:rPr>
      </w:pPr>
      <w:r>
        <w:rPr>
          <w:rFonts w:hAnsi="黑体" w:hint="eastAsia"/>
        </w:rPr>
        <w:t>畜禽粪便、污水等养殖废弃物未经处理或者处理不达标，不得直接向环境排放。</w:t>
      </w:r>
    </w:p>
    <w:p w:rsidR="00B33DC1" w:rsidRDefault="00B33DC1" w:rsidP="00B33DC1">
      <w:pPr>
        <w:pStyle w:val="a6"/>
        <w:spacing w:line="620" w:lineRule="exact"/>
        <w:ind w:firstLine="640"/>
        <w:rPr>
          <w:rFonts w:hAnsi="黑体" w:cs="Times New Roman"/>
        </w:rPr>
      </w:pPr>
      <w:r>
        <w:rPr>
          <w:rFonts w:ascii="黑体" w:eastAsia="黑体" w:hAnsi="黑体" w:cs="黑体" w:hint="eastAsia"/>
        </w:rPr>
        <w:t>第十七条</w:t>
      </w:r>
      <w:r>
        <w:rPr>
          <w:rFonts w:ascii="黑体" w:eastAsia="黑体" w:hAnsi="黑体" w:cs="黑体"/>
        </w:rPr>
        <w:t xml:space="preserve">  </w:t>
      </w:r>
      <w:r>
        <w:rPr>
          <w:rFonts w:hAnsi="黑体" w:hint="eastAsia"/>
        </w:rPr>
        <w:t>农业农村行政主管部门应当采取措施推动江东新区水产养殖业生产方式转变，引导发展生态健康养殖，推进水产养殖尾水治理设施建设和养殖水生态循环利用，促进水产养殖业绿色发展。水产养殖尾水应当达标排放。</w:t>
      </w:r>
    </w:p>
    <w:p w:rsidR="00B33DC1" w:rsidRDefault="00B33DC1" w:rsidP="00B33DC1">
      <w:pPr>
        <w:pStyle w:val="a6"/>
        <w:spacing w:line="620" w:lineRule="exact"/>
        <w:ind w:firstLine="640"/>
        <w:rPr>
          <w:rFonts w:hAnsi="黑体" w:cs="Times New Roman"/>
        </w:rPr>
      </w:pPr>
      <w:r>
        <w:rPr>
          <w:rFonts w:hAnsi="黑体" w:hint="eastAsia"/>
        </w:rPr>
        <w:t>水产养殖连片聚集区应当与周边环境相协调，水产养殖连片聚集区与自然保护区之间应当建设生态过渡带。</w:t>
      </w:r>
    </w:p>
    <w:p w:rsidR="00B33DC1" w:rsidRDefault="00B33DC1" w:rsidP="00B33DC1">
      <w:pPr>
        <w:pStyle w:val="a6"/>
        <w:spacing w:line="620" w:lineRule="exact"/>
        <w:ind w:firstLine="640"/>
        <w:rPr>
          <w:rFonts w:hAnsi="黑体" w:cs="Times New Roman"/>
        </w:rPr>
      </w:pPr>
      <w:r>
        <w:rPr>
          <w:rFonts w:ascii="黑体" w:eastAsia="黑体" w:hAnsi="黑体" w:cs="黑体" w:hint="eastAsia"/>
        </w:rPr>
        <w:t>第十八条</w:t>
      </w:r>
      <w:r>
        <w:rPr>
          <w:rFonts w:ascii="黑体" w:eastAsia="黑体" w:hAnsi="黑体" w:cs="黑体"/>
        </w:rPr>
        <w:t xml:space="preserve"> </w:t>
      </w:r>
      <w:r>
        <w:rPr>
          <w:rFonts w:hAnsi="黑体"/>
        </w:rPr>
        <w:t xml:space="preserve"> </w:t>
      </w:r>
      <w:r>
        <w:rPr>
          <w:rFonts w:hint="eastAsia"/>
        </w:rPr>
        <w:t>农业农村行政主管部门应</w:t>
      </w:r>
      <w:r>
        <w:rPr>
          <w:rFonts w:hAnsi="黑体" w:hint="eastAsia"/>
        </w:rPr>
        <w:t>当推广测土配方施肥技术</w:t>
      </w:r>
      <w:r>
        <w:rPr>
          <w:rFonts w:hint="eastAsia"/>
        </w:rPr>
        <w:t>，</w:t>
      </w:r>
      <w:r>
        <w:rPr>
          <w:rFonts w:hAnsi="黑体" w:hint="eastAsia"/>
        </w:rPr>
        <w:t>引导使用生物农药、生物有机肥，降低农药、化肥、农膜等对环境的污染。</w:t>
      </w:r>
    </w:p>
    <w:p w:rsidR="00B33DC1" w:rsidRDefault="00B33DC1" w:rsidP="00B33DC1">
      <w:pPr>
        <w:spacing w:line="620" w:lineRule="exact"/>
        <w:ind w:firstLineChars="200" w:firstLine="640"/>
        <w:rPr>
          <w:rFonts w:hAnsi="黑体"/>
        </w:rPr>
      </w:pPr>
      <w:r>
        <w:rPr>
          <w:rFonts w:hAnsi="黑体" w:hint="eastAsia"/>
        </w:rPr>
        <w:t>在江东新区</w:t>
      </w:r>
      <w:r>
        <w:rPr>
          <w:rFonts w:hint="eastAsia"/>
        </w:rPr>
        <w:t>从事种植业的单位和个人应当</w:t>
      </w:r>
      <w:r>
        <w:rPr>
          <w:rFonts w:hAnsi="黑体" w:hint="eastAsia"/>
        </w:rPr>
        <w:t>减少农药、化肥使用量</w:t>
      </w:r>
      <w:r>
        <w:rPr>
          <w:rFonts w:hint="eastAsia"/>
        </w:rPr>
        <w:t>。</w:t>
      </w:r>
    </w:p>
    <w:p w:rsidR="00B33DC1" w:rsidRDefault="00B33DC1" w:rsidP="00B33DC1">
      <w:pPr>
        <w:spacing w:line="620" w:lineRule="exact"/>
        <w:ind w:firstLineChars="200" w:firstLine="640"/>
        <w:rPr>
          <w:rFonts w:hAnsi="黑体"/>
        </w:rPr>
      </w:pPr>
      <w:r>
        <w:rPr>
          <w:rFonts w:ascii="黑体" w:eastAsia="黑体" w:hAnsi="黑体" w:cs="黑体" w:hint="eastAsia"/>
        </w:rPr>
        <w:t>第十九条</w:t>
      </w:r>
      <w:r>
        <w:rPr>
          <w:rFonts w:ascii="黑体" w:eastAsia="黑体" w:hAnsi="黑体" w:cs="黑体"/>
        </w:rPr>
        <w:t xml:space="preserve">  </w:t>
      </w:r>
      <w:r>
        <w:rPr>
          <w:rFonts w:hAnsi="黑体" w:hint="eastAsia"/>
        </w:rPr>
        <w:t>在江东新区禁止下列行为：</w:t>
      </w:r>
    </w:p>
    <w:p w:rsidR="00B33DC1" w:rsidRDefault="00B33DC1" w:rsidP="00B33DC1">
      <w:pPr>
        <w:spacing w:line="620" w:lineRule="exact"/>
        <w:ind w:firstLineChars="200" w:firstLine="640"/>
        <w:rPr>
          <w:rFonts w:hAnsi="黑体"/>
        </w:rPr>
      </w:pPr>
      <w:r>
        <w:rPr>
          <w:rFonts w:hAnsi="黑体" w:hint="eastAsia"/>
        </w:rPr>
        <w:t>（一）向水体违法排放水污染物；</w:t>
      </w:r>
    </w:p>
    <w:p w:rsidR="00B33DC1" w:rsidRDefault="00B33DC1" w:rsidP="00B33DC1">
      <w:pPr>
        <w:spacing w:line="620" w:lineRule="exact"/>
        <w:ind w:firstLineChars="200" w:firstLine="640"/>
        <w:rPr>
          <w:rFonts w:hAnsi="黑体"/>
        </w:rPr>
      </w:pPr>
      <w:r>
        <w:rPr>
          <w:rFonts w:hAnsi="黑体" w:hint="eastAsia"/>
        </w:rPr>
        <w:t>（二）擅自倾倒、抛撒或者堆放工程施工过程中产生的建筑污泥等建筑垃圾；</w:t>
      </w:r>
      <w:r>
        <w:rPr>
          <w:rFonts w:hAnsi="黑体"/>
        </w:rPr>
        <w:t xml:space="preserve"> </w:t>
      </w:r>
    </w:p>
    <w:p w:rsidR="00B33DC1" w:rsidRDefault="00B33DC1" w:rsidP="00B33DC1">
      <w:pPr>
        <w:pStyle w:val="a6"/>
        <w:spacing w:line="620" w:lineRule="exact"/>
        <w:ind w:firstLine="640"/>
      </w:pPr>
      <w:r>
        <w:rPr>
          <w:rFonts w:hAnsi="黑体" w:hint="eastAsia"/>
        </w:rPr>
        <w:t>（三）非法砍伐或者毁坏红树林；</w:t>
      </w:r>
      <w:r>
        <w:t xml:space="preserve"> </w:t>
      </w:r>
    </w:p>
    <w:p w:rsidR="00B33DC1" w:rsidRDefault="00B33DC1" w:rsidP="00B33DC1">
      <w:pPr>
        <w:pStyle w:val="a6"/>
        <w:spacing w:line="620" w:lineRule="exact"/>
        <w:ind w:firstLine="640"/>
        <w:rPr>
          <w:rFonts w:hAnsi="黑体" w:cs="Times New Roman"/>
        </w:rPr>
      </w:pPr>
      <w:r>
        <w:rPr>
          <w:rFonts w:hAnsi="黑体" w:hint="eastAsia"/>
        </w:rPr>
        <w:t>（四）炸鱼、毒鱼、电鱼以及在政府规定的禁止区域内垂钓、围网鱼虾等水生动物；</w:t>
      </w:r>
    </w:p>
    <w:p w:rsidR="00B33DC1" w:rsidRDefault="00B33DC1" w:rsidP="00B33DC1">
      <w:pPr>
        <w:pStyle w:val="a6"/>
        <w:spacing w:line="620" w:lineRule="exact"/>
        <w:ind w:firstLine="640"/>
        <w:rPr>
          <w:rFonts w:hAnsi="黑体"/>
        </w:rPr>
      </w:pPr>
      <w:r>
        <w:rPr>
          <w:rFonts w:hAnsi="黑体" w:hint="eastAsia"/>
        </w:rPr>
        <w:lastRenderedPageBreak/>
        <w:t>（五）非法开采河砂、海砂；</w:t>
      </w:r>
      <w:r>
        <w:rPr>
          <w:rFonts w:hAnsi="黑体"/>
        </w:rPr>
        <w:t xml:space="preserve"> </w:t>
      </w:r>
    </w:p>
    <w:p w:rsidR="00B33DC1" w:rsidRDefault="00B33DC1" w:rsidP="00B33DC1">
      <w:pPr>
        <w:pStyle w:val="a6"/>
        <w:spacing w:line="620" w:lineRule="exact"/>
        <w:ind w:firstLine="640"/>
        <w:rPr>
          <w:rFonts w:hAnsi="黑体" w:cs="Times New Roman"/>
        </w:rPr>
      </w:pPr>
      <w:r>
        <w:rPr>
          <w:rFonts w:hAnsi="黑体" w:hint="eastAsia"/>
        </w:rPr>
        <w:t>（六）非法围填海；</w:t>
      </w:r>
    </w:p>
    <w:p w:rsidR="00B33DC1" w:rsidRDefault="00B33DC1" w:rsidP="00B33DC1">
      <w:pPr>
        <w:spacing w:line="620" w:lineRule="exact"/>
        <w:ind w:firstLineChars="200" w:firstLine="640"/>
        <w:rPr>
          <w:rFonts w:hAnsi="黑体"/>
        </w:rPr>
      </w:pPr>
      <w:r>
        <w:rPr>
          <w:rFonts w:hAnsi="黑体" w:hint="eastAsia"/>
        </w:rPr>
        <w:t>（七）法律、法规禁止的其他行为。</w:t>
      </w:r>
    </w:p>
    <w:p w:rsidR="00B33DC1" w:rsidRDefault="00B33DC1" w:rsidP="00B33DC1">
      <w:pPr>
        <w:spacing w:line="620" w:lineRule="exact"/>
        <w:ind w:firstLineChars="200" w:firstLine="640"/>
      </w:pPr>
      <w:r>
        <w:rPr>
          <w:rFonts w:ascii="黑体" w:eastAsia="黑体" w:hAnsi="黑体" w:cs="黑体" w:hint="eastAsia"/>
        </w:rPr>
        <w:t>第二十条</w:t>
      </w:r>
      <w:r>
        <w:rPr>
          <w:rFonts w:ascii="黑体" w:eastAsia="黑体" w:hAnsi="黑体" w:cs="黑体"/>
        </w:rPr>
        <w:t xml:space="preserve">  </w:t>
      </w:r>
      <w:r>
        <w:rPr>
          <w:rFonts w:hAnsi="黑体" w:hint="eastAsia"/>
        </w:rPr>
        <w:t>生态环境行政主管部门应当</w:t>
      </w:r>
      <w:r>
        <w:rPr>
          <w:rFonts w:hint="eastAsia"/>
        </w:rPr>
        <w:t>完善</w:t>
      </w:r>
      <w:r>
        <w:rPr>
          <w:rFonts w:hAnsi="黑体" w:hint="eastAsia"/>
        </w:rPr>
        <w:t>江东新区</w:t>
      </w:r>
      <w:r>
        <w:rPr>
          <w:rFonts w:hint="eastAsia"/>
        </w:rPr>
        <w:t>生态环境监测网络，建立健全环境自动监测数据共享机制。</w:t>
      </w:r>
    </w:p>
    <w:p w:rsidR="00B33DC1" w:rsidRDefault="00B33DC1" w:rsidP="00B33DC1">
      <w:pPr>
        <w:spacing w:line="620" w:lineRule="exact"/>
        <w:ind w:firstLineChars="200" w:firstLine="640"/>
      </w:pPr>
      <w:r>
        <w:rPr>
          <w:rFonts w:ascii="黑体" w:eastAsia="黑体" w:hAnsi="黑体" w:cs="黑体" w:hint="eastAsia"/>
        </w:rPr>
        <w:t>第二十一条</w:t>
      </w:r>
      <w:r>
        <w:rPr>
          <w:rFonts w:ascii="黑体" w:eastAsia="黑体" w:hAnsi="黑体" w:cs="黑体"/>
        </w:rPr>
        <w:t xml:space="preserve">  </w:t>
      </w:r>
      <w:r>
        <w:rPr>
          <w:rFonts w:hint="eastAsia"/>
        </w:rPr>
        <w:t>生态环境行政主管部门及其他相关部门、</w:t>
      </w:r>
      <w:r>
        <w:rPr>
          <w:rFonts w:hAnsi="黑体" w:hint="eastAsia"/>
        </w:rPr>
        <w:t>江东新区管理机构应当</w:t>
      </w:r>
      <w:r>
        <w:rPr>
          <w:rFonts w:hint="eastAsia"/>
        </w:rPr>
        <w:t>依法公开环境质量、环境监测、环境行政许可、行政处罚以及突发环境事件等信息。</w:t>
      </w:r>
    </w:p>
    <w:p w:rsidR="00B33DC1" w:rsidRDefault="00B33DC1" w:rsidP="00B33DC1">
      <w:pPr>
        <w:spacing w:line="620" w:lineRule="exact"/>
        <w:ind w:firstLineChars="200" w:firstLine="640"/>
      </w:pPr>
      <w:r>
        <w:rPr>
          <w:rFonts w:ascii="黑体" w:eastAsia="黑体" w:hAnsi="黑体" w:cs="黑体" w:hint="eastAsia"/>
        </w:rPr>
        <w:t>第二十二条</w:t>
      </w:r>
      <w:r>
        <w:rPr>
          <w:rFonts w:ascii="黑体" w:eastAsia="黑体" w:hAnsi="黑体" w:cs="黑体"/>
        </w:rPr>
        <w:t xml:space="preserve">  </w:t>
      </w:r>
      <w:r>
        <w:rPr>
          <w:rFonts w:hint="eastAsia"/>
        </w:rPr>
        <w:t>生态环境行政主管部门应当建立</w:t>
      </w:r>
      <w:r>
        <w:rPr>
          <w:rFonts w:hAnsi="黑体" w:hint="eastAsia"/>
        </w:rPr>
        <w:t>江东新区</w:t>
      </w:r>
      <w:r>
        <w:rPr>
          <w:rFonts w:hint="eastAsia"/>
        </w:rPr>
        <w:t>排污单位环保诚信档案，记录其环保诚信信息，并向社会公开。</w:t>
      </w:r>
    </w:p>
    <w:p w:rsidR="00B33DC1" w:rsidRDefault="00B33DC1" w:rsidP="00B33DC1">
      <w:pPr>
        <w:spacing w:line="620" w:lineRule="exact"/>
        <w:ind w:firstLineChars="200" w:firstLine="640"/>
      </w:pPr>
      <w:r>
        <w:rPr>
          <w:rFonts w:hAnsi="黑体" w:hint="eastAsia"/>
        </w:rPr>
        <w:t>江东新区</w:t>
      </w:r>
      <w:r>
        <w:rPr>
          <w:rFonts w:hint="eastAsia"/>
        </w:rPr>
        <w:t>排污单位的环保诚信信息应当作为环境监督管理、财政支持、</w:t>
      </w:r>
      <w:r>
        <w:rPr>
          <w:rFonts w:hAnsi="黑体" w:hint="eastAsia"/>
        </w:rPr>
        <w:t>政府采购、</w:t>
      </w:r>
      <w:r>
        <w:rPr>
          <w:rFonts w:hint="eastAsia"/>
        </w:rPr>
        <w:t>银行信贷等的参考依据。</w:t>
      </w:r>
    </w:p>
    <w:p w:rsidR="00B33DC1" w:rsidRDefault="00B33DC1" w:rsidP="00B33DC1">
      <w:pPr>
        <w:spacing w:line="620" w:lineRule="exact"/>
        <w:ind w:firstLineChars="200" w:firstLine="640"/>
        <w:rPr>
          <w:rFonts w:hAnsi="黑体"/>
        </w:rPr>
      </w:pPr>
      <w:r>
        <w:rPr>
          <w:rFonts w:ascii="黑体" w:eastAsia="黑体" w:hAnsi="黑体" w:cs="黑体" w:hint="eastAsia"/>
        </w:rPr>
        <w:t>第二十三条</w:t>
      </w:r>
      <w:r>
        <w:rPr>
          <w:rFonts w:ascii="黑体" w:eastAsia="黑体" w:hAnsi="黑体" w:cs="黑体"/>
        </w:rPr>
        <w:t xml:space="preserve">  </w:t>
      </w:r>
      <w:r>
        <w:rPr>
          <w:rFonts w:hAnsi="黑体" w:hint="eastAsia"/>
        </w:rPr>
        <w:t>违反本条例第十九条第一项规定，向水体违法排放水污染物的，依照国家和本省有关水污染的法律、法规予以处罚。</w:t>
      </w:r>
    </w:p>
    <w:p w:rsidR="00B33DC1" w:rsidRDefault="00B33DC1" w:rsidP="00B33DC1">
      <w:pPr>
        <w:spacing w:line="620" w:lineRule="exact"/>
        <w:ind w:firstLineChars="200" w:firstLine="640"/>
      </w:pPr>
      <w:r>
        <w:rPr>
          <w:rFonts w:ascii="黑体" w:eastAsia="黑体" w:hAnsi="黑体" w:cs="黑体" w:hint="eastAsia"/>
        </w:rPr>
        <w:t>第二十四条</w:t>
      </w:r>
      <w:r>
        <w:rPr>
          <w:rFonts w:ascii="黑体" w:eastAsia="黑体" w:hAnsi="黑体" w:cs="黑体"/>
        </w:rPr>
        <w:t xml:space="preserve">  </w:t>
      </w:r>
      <w:r>
        <w:rPr>
          <w:rFonts w:hAnsi="黑体" w:hint="eastAsia"/>
        </w:rPr>
        <w:t>违反本条例第十九条第二项规定，工程施工单位擅自倾倒、抛撒或者堆放工程施工过程中产生的建筑污泥等建筑垃圾的，由园林和环境卫生行政主管部门责令改正，处十万元以上一百万元以下的罚款；有违法所得的，除依法应当退赔的外，应当予以没收。</w:t>
      </w:r>
    </w:p>
    <w:p w:rsidR="00B33DC1" w:rsidRDefault="00B33DC1" w:rsidP="00B33DC1">
      <w:pPr>
        <w:pStyle w:val="a6"/>
        <w:spacing w:line="620" w:lineRule="exact"/>
        <w:ind w:firstLine="640"/>
        <w:rPr>
          <w:rFonts w:hAnsi="黑体" w:cs="Times New Roman"/>
        </w:rPr>
      </w:pPr>
      <w:r>
        <w:rPr>
          <w:rFonts w:ascii="黑体" w:eastAsia="黑体" w:hAnsi="黑体" w:cs="黑体" w:hint="eastAsia"/>
        </w:rPr>
        <w:t>第二十五条</w:t>
      </w:r>
      <w:r>
        <w:rPr>
          <w:rFonts w:ascii="黑体" w:eastAsia="黑体" w:hAnsi="黑体" w:cs="黑体"/>
        </w:rPr>
        <w:t xml:space="preserve">  </w:t>
      </w:r>
      <w:r>
        <w:rPr>
          <w:rFonts w:hAnsi="黑体" w:hint="eastAsia"/>
        </w:rPr>
        <w:t>违反本条例第十九条第四项规定，炸鱼、</w:t>
      </w:r>
      <w:r>
        <w:rPr>
          <w:rFonts w:hAnsi="黑体" w:hint="eastAsia"/>
        </w:rPr>
        <w:lastRenderedPageBreak/>
        <w:t>毒鱼、电鱼以及在政府规定的禁止区域内垂钓、围网鱼虾等水生动物的，由农业农村行政主管部门或者渔政监督管理机构没收渔获物和违法所得，处五百元以上五万元以下的罚款；情节严重的，没收渔具，吊销捕捞许可证；情节特别严重的，可以没收渔船；构成犯罪的，依法追究刑事责任。</w:t>
      </w:r>
    </w:p>
    <w:p w:rsidR="00B33DC1" w:rsidRDefault="00B33DC1" w:rsidP="00B33DC1">
      <w:pPr>
        <w:pStyle w:val="a6"/>
        <w:spacing w:line="620" w:lineRule="exact"/>
        <w:ind w:firstLine="640"/>
        <w:rPr>
          <w:rFonts w:hAnsi="仿宋_GB2312" w:cs="Times New Roman"/>
        </w:rPr>
      </w:pPr>
      <w:r>
        <w:rPr>
          <w:rFonts w:ascii="黑体" w:eastAsia="黑体" w:hAnsi="黑体" w:cs="黑体" w:hint="eastAsia"/>
        </w:rPr>
        <w:t>第二十六条</w:t>
      </w:r>
      <w:r>
        <w:rPr>
          <w:rFonts w:ascii="黑体" w:eastAsia="黑体" w:hAnsi="黑体" w:cs="黑体"/>
        </w:rPr>
        <w:t xml:space="preserve">  </w:t>
      </w:r>
      <w:r>
        <w:rPr>
          <w:rFonts w:hAnsi="仿宋_GB2312" w:hint="eastAsia"/>
        </w:rPr>
        <w:t>实施本条例规定的违法行为，同时违反自然保护区管理或者红树林保护等有关法律、法规规定的，依照有关法律、法规予以处罚。</w:t>
      </w:r>
    </w:p>
    <w:p w:rsidR="00B33DC1" w:rsidRDefault="00B33DC1" w:rsidP="00B33DC1">
      <w:pPr>
        <w:spacing w:line="620" w:lineRule="exact"/>
        <w:ind w:firstLineChars="200" w:firstLine="640"/>
      </w:pPr>
      <w:r>
        <w:rPr>
          <w:rFonts w:ascii="黑体" w:eastAsia="黑体" w:hAnsi="黑体" w:cs="黑体" w:hint="eastAsia"/>
        </w:rPr>
        <w:t>第二十七条</w:t>
      </w:r>
      <w:r>
        <w:rPr>
          <w:rFonts w:ascii="黑体" w:eastAsia="黑体" w:hAnsi="黑体" w:cs="黑体"/>
        </w:rPr>
        <w:t xml:space="preserve">  </w:t>
      </w:r>
      <w:r>
        <w:rPr>
          <w:rFonts w:hint="eastAsia"/>
        </w:rPr>
        <w:t>违反本条例的行为，本条例未设定处罚但其他法律、法规已作出处罚规定的，依照有关法律、法规的规定处罚。</w:t>
      </w:r>
    </w:p>
    <w:p w:rsidR="00B33DC1" w:rsidRDefault="00B33DC1" w:rsidP="00B33DC1">
      <w:pPr>
        <w:spacing w:line="620" w:lineRule="exact"/>
        <w:ind w:firstLineChars="200" w:firstLine="640"/>
        <w:rPr>
          <w:rFonts w:hAnsi="黑体"/>
        </w:rPr>
      </w:pPr>
      <w:r>
        <w:rPr>
          <w:rFonts w:hAnsi="黑体" w:hint="eastAsia"/>
        </w:rPr>
        <w:t>本条例规定的违法行为，依法决定由综合行政执法部门或者镇人民政府、街道办事处实施处罚的，从其规定。</w:t>
      </w:r>
    </w:p>
    <w:p w:rsidR="00B33DC1" w:rsidRDefault="00B33DC1" w:rsidP="00B33DC1">
      <w:pPr>
        <w:spacing w:line="620" w:lineRule="exact"/>
        <w:ind w:firstLineChars="200" w:firstLine="640"/>
        <w:rPr>
          <w:rFonts w:hAnsi="黑体"/>
        </w:rPr>
      </w:pPr>
      <w:r>
        <w:rPr>
          <w:rFonts w:ascii="黑体" w:eastAsia="黑体" w:hAnsi="黑体" w:cs="黑体" w:hint="eastAsia"/>
        </w:rPr>
        <w:t>第二十八条</w:t>
      </w:r>
      <w:r>
        <w:rPr>
          <w:rFonts w:ascii="黑体" w:eastAsia="黑体" w:hAnsi="黑体" w:cs="黑体"/>
        </w:rPr>
        <w:t xml:space="preserve">  </w:t>
      </w:r>
      <w:r>
        <w:rPr>
          <w:rFonts w:hAnsi="黑体" w:hint="eastAsia"/>
        </w:rPr>
        <w:t>江东新区实行生态环境损害责任终身追究制。</w:t>
      </w:r>
    </w:p>
    <w:p w:rsidR="00B33DC1" w:rsidRDefault="00B33DC1" w:rsidP="00B33DC1">
      <w:pPr>
        <w:spacing w:line="620" w:lineRule="exact"/>
        <w:ind w:firstLineChars="200" w:firstLine="640"/>
      </w:pPr>
      <w:r>
        <w:rPr>
          <w:rFonts w:hint="eastAsia"/>
        </w:rPr>
        <w:t>有关国家机关及其工作人员玩忽职守、滥用职权、徇私舞弊的，由其所在单位、监察机关或者上级主管部门责令改正；情节严重的，对直接负责的主管人员和其他直接责任人员依法给予处分；构成犯罪的，依法追究刑事责任。</w:t>
      </w:r>
    </w:p>
    <w:p w:rsidR="00B33DC1" w:rsidRDefault="00B33DC1" w:rsidP="00B33DC1">
      <w:pPr>
        <w:spacing w:line="620" w:lineRule="exact"/>
        <w:ind w:firstLineChars="200" w:firstLine="640"/>
        <w:rPr>
          <w:rFonts w:hint="eastAsia"/>
        </w:rPr>
      </w:pPr>
      <w:r>
        <w:rPr>
          <w:rFonts w:ascii="黑体" w:eastAsia="黑体" w:hAnsi="黑体" w:cs="黑体" w:hint="eastAsia"/>
        </w:rPr>
        <w:t>第二十九条</w:t>
      </w:r>
      <w:r>
        <w:rPr>
          <w:rFonts w:ascii="黑体" w:eastAsia="黑体" w:hAnsi="黑体" w:cs="黑体"/>
        </w:rPr>
        <w:t xml:space="preserve">  </w:t>
      </w:r>
      <w:r>
        <w:rPr>
          <w:rFonts w:hint="eastAsia"/>
        </w:rPr>
        <w:t>本条例自</w:t>
      </w:r>
      <w:r>
        <w:t>2021</w:t>
      </w:r>
      <w:r>
        <w:rPr>
          <w:rFonts w:hint="eastAsia"/>
        </w:rPr>
        <w:t>年10月1日起施行。</w:t>
      </w:r>
    </w:p>
    <w:bookmarkEnd w:id="0"/>
    <w:p w:rsidR="00010BB1" w:rsidRPr="00B33DC1" w:rsidRDefault="00010BB1"/>
    <w:sectPr w:rsidR="00010BB1" w:rsidRPr="00B33DC1">
      <w:footerReference w:type="even" r:id="rId6"/>
      <w:footerReference w:type="default" r:id="rId7"/>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778" w:rsidRDefault="00AB2778" w:rsidP="00B33DC1">
      <w:r>
        <w:separator/>
      </w:r>
    </w:p>
  </w:endnote>
  <w:endnote w:type="continuationSeparator" w:id="0">
    <w:p w:rsidR="00AB2778" w:rsidRDefault="00AB2778" w:rsidP="00B33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80D" w:rsidRDefault="00AB277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3B480D" w:rsidRDefault="00AB277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80D" w:rsidRDefault="00AB277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33DC1">
      <w:rPr>
        <w:rStyle w:val="a5"/>
        <w:noProof/>
      </w:rPr>
      <w:t>7</w:t>
    </w:r>
    <w:r>
      <w:rPr>
        <w:rStyle w:val="a5"/>
      </w:rPr>
      <w:fldChar w:fldCharType="end"/>
    </w:r>
  </w:p>
  <w:p w:rsidR="003B480D" w:rsidRDefault="00AB277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778" w:rsidRDefault="00AB2778" w:rsidP="00B33DC1">
      <w:r>
        <w:separator/>
      </w:r>
    </w:p>
  </w:footnote>
  <w:footnote w:type="continuationSeparator" w:id="0">
    <w:p w:rsidR="00AB2778" w:rsidRDefault="00AB2778" w:rsidP="00B33D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86"/>
    <w:rsid w:val="00010BB1"/>
    <w:rsid w:val="00AB2778"/>
    <w:rsid w:val="00B33DC1"/>
    <w:rsid w:val="00E1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4CD5D5-13F2-4697-8AD3-E25C5B0F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3DC1"/>
    <w:pPr>
      <w:widowControl w:val="0"/>
      <w:jc w:val="both"/>
    </w:pPr>
    <w:rPr>
      <w:rFonts w:ascii="仿宋_GB2312" w:eastAsia="仿宋_GB2312" w:hAnsi="Times New Roman"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3DC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33DC1"/>
    <w:rPr>
      <w:sz w:val="18"/>
      <w:szCs w:val="18"/>
    </w:rPr>
  </w:style>
  <w:style w:type="paragraph" w:styleId="a4">
    <w:name w:val="footer"/>
    <w:basedOn w:val="a"/>
    <w:link w:val="Char0"/>
    <w:unhideWhenUsed/>
    <w:rsid w:val="00B33DC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B33DC1"/>
    <w:rPr>
      <w:sz w:val="18"/>
      <w:szCs w:val="18"/>
    </w:rPr>
  </w:style>
  <w:style w:type="character" w:styleId="a5">
    <w:name w:val="page number"/>
    <w:basedOn w:val="a0"/>
    <w:rsid w:val="00B33DC1"/>
  </w:style>
  <w:style w:type="paragraph" w:styleId="a6">
    <w:name w:val="Normal Indent"/>
    <w:basedOn w:val="a"/>
    <w:uiPriority w:val="99"/>
    <w:rsid w:val="00B33DC1"/>
    <w:pPr>
      <w:ind w:firstLineChars="200" w:firstLine="420"/>
    </w:pPr>
    <w:rPr>
      <w:rFonts w:hAnsi="Calibri" w:cs="仿宋_GB23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491</Words>
  <Characters>2799</Characters>
  <Application>Microsoft Office Word</Application>
  <DocSecurity>0</DocSecurity>
  <Lines>23</Lines>
  <Paragraphs>6</Paragraphs>
  <ScaleCrop>false</ScaleCrop>
  <Company>Microsoft</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未定义</cp:lastModifiedBy>
  <cp:revision>2</cp:revision>
  <dcterms:created xsi:type="dcterms:W3CDTF">2021-08-10T05:26:00Z</dcterms:created>
  <dcterms:modified xsi:type="dcterms:W3CDTF">2021-08-10T05:26:00Z</dcterms:modified>
</cp:coreProperties>
</file>