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color w:val="000000"/>
          <w:sz w:val="32"/>
          <w:lang w:val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color w:val="000000"/>
          <w:sz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湖北省人大常委会关于政府规章设定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</w:pPr>
      <w:r>
        <w:rPr>
          <w:rFonts w:hint="eastAsia" w:ascii="宋体" w:hAnsi="宋体"/>
          <w:b w:val="0"/>
          <w:bCs/>
          <w:color w:val="000000"/>
          <w:sz w:val="44"/>
          <w:szCs w:val="44"/>
          <w:lang w:val="zh-CN"/>
        </w:rPr>
        <w:t>行政处罚罚款限额的规定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b/>
          <w:color w:val="000000"/>
          <w:sz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40" w:leftChars="0" w:right="640" w:rightChars="0" w:firstLine="0" w:firstLineChars="0"/>
        <w:jc w:val="center"/>
        <w:textAlignment w:val="auto"/>
        <w:outlineLvl w:val="9"/>
        <w:rPr>
          <w:rFonts w:hint="eastAsia" w:ascii="宋体" w:hAnsi="宋体"/>
          <w:color w:val="000000"/>
          <w:sz w:val="32"/>
          <w:lang w:val="zh-CN"/>
        </w:rPr>
      </w:pPr>
      <w:r>
        <w:rPr>
          <w:rFonts w:hint="eastAsia" w:ascii="楷体_GB2312" w:hAnsi="楷体_GB2312" w:eastAsia="楷体_GB2312" w:cs="楷体_GB2312"/>
          <w:color w:val="000000"/>
          <w:sz w:val="32"/>
          <w:lang w:val="zh-CN"/>
        </w:rPr>
        <w:t>（1996年9月21日湖北省第八届人民代表大会常务委员会第二十二次会议通过</w:t>
      </w:r>
      <w:r>
        <w:rPr>
          <w:rFonts w:hint="eastAsia" w:ascii="楷体_GB2312" w:hAnsi="楷体_GB2312" w:eastAsia="楷体_GB2312" w:cs="楷体_GB2312"/>
          <w:color w:val="000000"/>
          <w:sz w:val="32"/>
          <w:lang w:val="en-US" w:eastAsia="zh-CN"/>
        </w:rPr>
        <w:t>　</w:t>
      </w:r>
      <w:r>
        <w:rPr>
          <w:rFonts w:hint="eastAsia" w:ascii="楷体_GB2312" w:hAnsi="楷体_GB2312" w:eastAsia="楷体_GB2312" w:cs="楷体_GB2312"/>
          <w:color w:val="000000"/>
          <w:sz w:val="32"/>
          <w:lang w:val="zh-CN"/>
        </w:rPr>
        <w:t>根据2013年5月23日湖北省第十二届人民代表大会常务委员会第三次会议《关于修改〈湖北省人大常委会关于政府规章设定行政处罚罚款限额的规定〉的决定》修正）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宋体" w:hAnsi="宋体"/>
          <w:color w:val="000000"/>
          <w:sz w:val="32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lang w:val="en-US" w:eastAsia="zh-CN"/>
        </w:rPr>
        <w:t>　　</w:t>
      </w:r>
      <w:r>
        <w:rPr>
          <w:rFonts w:hint="eastAsia" w:ascii="仿宋_GB2312" w:hAnsi="仿宋_GB2312" w:eastAsia="仿宋_GB2312" w:cs="仿宋_GB2312"/>
          <w:color w:val="000000"/>
          <w:sz w:val="32"/>
          <w:lang w:val="zh-CN"/>
        </w:rPr>
        <w:t>为了规范政府规章设定行政处罚罚款的行为，保护公民、法人或者其他组织的合法权益，根据《中华人民共和国行政处罚法》第十三条的规定，结合我省实际，对政府规章设定行政处罚罚款的限额作如下规定：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lang w:val="zh-CN"/>
        </w:rPr>
        <w:t>一</w:t>
      </w:r>
      <w:r>
        <w:rPr>
          <w:rFonts w:hint="eastAsia" w:ascii="仿宋_GB2312" w:hAnsi="仿宋_GB2312" w:eastAsia="仿宋_GB2312" w:cs="仿宋_GB2312"/>
          <w:color w:val="000000"/>
          <w:sz w:val="32"/>
          <w:lang w:val="zh-CN"/>
        </w:rPr>
        <w:t>、对非经营活动中的违反行政管理秩序行为，设定罚款数额不得超过5000元。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lang w:val="zh-CN"/>
        </w:rPr>
        <w:t>二</w:t>
      </w:r>
      <w:r>
        <w:rPr>
          <w:rFonts w:hint="eastAsia" w:ascii="仿宋_GB2312" w:hAnsi="仿宋_GB2312" w:eastAsia="仿宋_GB2312" w:cs="仿宋_GB2312"/>
          <w:color w:val="000000"/>
          <w:sz w:val="32"/>
          <w:lang w:val="zh-CN"/>
        </w:rPr>
        <w:t>、对经营活动中的违反行政管理秩序行为，有违法所得的，设定罚款数额不得超过违法所得的3倍，但最高不得超过15万元；没有违法所得的，设定罚款数额不得超过5万元。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lang w:val="zh-CN"/>
        </w:rPr>
        <w:t>三</w:t>
      </w:r>
      <w:r>
        <w:rPr>
          <w:rFonts w:hint="eastAsia" w:ascii="仿宋_GB2312" w:hAnsi="仿宋_GB2312" w:eastAsia="仿宋_GB2312" w:cs="仿宋_GB2312"/>
          <w:color w:val="000000"/>
          <w:sz w:val="32"/>
          <w:lang w:val="zh-CN"/>
        </w:rPr>
        <w:t>、政府规章可以在罚款限额规定的范围内，根据过罚相当的原则，对非经营活动和经营活动中公民、法人或者其他组织违反行政管理秩序的行为设定不同幅度的罚款。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/>
          <w:color w:val="000000"/>
          <w:sz w:val="32"/>
          <w:lang w:val="zh-CN"/>
        </w:rPr>
      </w:pPr>
      <w:r>
        <w:rPr>
          <w:rFonts w:hint="eastAsia" w:ascii="仿宋_GB2312" w:hAnsi="仿宋_GB2312" w:eastAsia="仿宋_GB2312" w:cs="仿宋_GB2312"/>
          <w:color w:val="000000"/>
          <w:sz w:val="32"/>
          <w:lang w:val="en-US" w:eastAsia="zh-CN"/>
        </w:rPr>
        <w:t>　　</w:t>
      </w:r>
      <w:r>
        <w:rPr>
          <w:rFonts w:hint="eastAsia" w:ascii="黑体" w:hAnsi="黑体" w:eastAsia="黑体" w:cs="黑体"/>
          <w:color w:val="000000"/>
          <w:sz w:val="32"/>
          <w:lang w:val="zh-CN"/>
        </w:rPr>
        <w:t>四</w:t>
      </w:r>
      <w:r>
        <w:rPr>
          <w:rFonts w:hint="eastAsia" w:ascii="仿宋_GB2312" w:hAnsi="仿宋_GB2312" w:eastAsia="仿宋_GB2312" w:cs="仿宋_GB2312"/>
          <w:color w:val="000000"/>
          <w:sz w:val="32"/>
          <w:lang w:val="zh-CN"/>
        </w:rPr>
        <w:t>、本规定自1996年10月1日起施行。</w:t>
      </w:r>
    </w:p>
    <w:sectPr>
      <w:footerReference r:id="rId3" w:type="default"/>
      <w:pgSz w:w="11906" w:h="16838"/>
      <w:pgMar w:top="2041" w:right="1531" w:bottom="2041" w:left="1531" w:header="720" w:footer="1587" w:gutter="0"/>
      <w:paperSrc/>
      <w:lnNumType w:countBy="0" w:distance="360"/>
      <w:pgNumType w:fmt="numberInDash"/>
      <w:cols w:space="720" w:num="1"/>
      <w:rtlGutter w:val="0"/>
      <w:docGrid w:type="linesAndChars" w:linePitch="579" w:charSpace="-18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80" w:leftChars="0" w:right="28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80" w:leftChars="0" w:right="28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documentProtection w:enforcement="0"/>
  <w:defaultTabStop w:val="420"/>
  <w:hyphenationZone w:val="360"/>
  <w:drawingGridHorizontalSpacing w:val="101"/>
  <w:drawingGridVerticalSpacing w:val="290"/>
  <w:displayHorizontalDrawingGridEvery w:val="2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617F2"/>
    <w:rsid w:val="11816112"/>
    <w:rsid w:val="16F0736F"/>
    <w:rsid w:val="19203CD3"/>
    <w:rsid w:val="27E34D37"/>
    <w:rsid w:val="2F6B7C36"/>
    <w:rsid w:val="3A79416D"/>
    <w:rsid w:val="4CF83F07"/>
    <w:rsid w:val="4D1F1F58"/>
    <w:rsid w:val="6EED5E57"/>
    <w:rsid w:val="71A94A05"/>
    <w:rsid w:val="7D8D3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2016-12-22T00:43:00Z</dcterms:created>
  <dc:creator>Administrator</dc:creator>
  <cp:lastModifiedBy>lenovo</cp:lastModifiedBy>
  <dcterms:modified xsi:type="dcterms:W3CDTF">2017-02-16T09:43:19Z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