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湖北省民用机场净空安全保护条例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（2010年12月4日湖北省第十一届人民代表大会常务委员会第十九次会议通过）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净空区域保护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电磁环境保护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color w:val="000000"/>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为了加强对民用机场的净空保护，保障民用航空安全和人民生命财产安全，根据《中华人民共和国民用航空法》、《民用机场管理条例》等法律、行政法规，结合本省实际，制定本条例。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本省行政区域内民用机场的净空区域保护和电磁环境保护，适用本条例。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所在地的县级以上人民政府应当加强民用机场净空安全工作的领导，建立完善民用机场净空安全保护工作责任制和协调机制，研究解决净空安全工作中的重大事项，将民用机场净空安全保护工作纳入本地安全生产责任目标考核体系，督促各有关部门依法履行净空安全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民用机场所在地的县级以上人民政府安全生产监督管理部门对民用机场净空安全保护工作实施综合监督管理，对有关部门和下级人民政府的民用机场净空安全保护工作实施指导协调、监督检查。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民用机场所在地的县级以上人民政府规划、住房和城乡建设、公安、农业、环保、林业、国土资源、气象、无线电管理、工商行政管理等有关部门按照各自职责，做好民用机场净空安全保护工作。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管理机构具体负责所属机场的净空安全保护工作。中国民用航空湖北地区空中交通管理部门（以下简称空中交通管理部门）按照职责，参与民用机场净空安全的管理工作。中国民用航空湖北安全监督管理部门（以下简称民航管理部门）对民用机场净空安全保护工作实施行业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民用机场管理机构应当坚持安全第一、预防为主，建立健全安全生产责任制，制定、完善有关安全生产应急预案，与民用机场所在地的人民政府建立联防机制，共同做好民用机场净空安全保护工作。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任何单位和个人应当保护民用机场的净空安全，并有权向安全生产监督管理部门或者其他相关部门举报民用机场净空安全隐患或者危害民用机场净空安全的行为。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民用机场净空安全保护负有监督管理职责的部门应当制定并落实监督检查计划，建立举报制度，受理有关民用机场净空安全的举报，并组织调查核实，依法处理；举报事项涉及民用机场净空安全重大问题的，提请同级人民政府协调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民航管理部门、民用机场管理机构和民用机场所在地的各级人民政府及其相关部门应当加强民用机场净空安全保护的宣传、教育工作，提高公民对民用机场净空安全保护的意识。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民用机场所在地的乡镇人民政府、街道办事处、村（居）民委员会应当配合做好辖区内民用机场净空安全保护的宣传、教育等相关工作。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净空区域保护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民用机场净空保护区域，是指为保障航空器在机场安全起飞和降落，按照民用机场净空障碍物限制图的要求划设的一定空间范围。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民用机场管理机构应当按照国家规定和技术标准编制民用机场净空障碍物限制图，报国务院民用航空行政主管部门批准后，送民用机场所在地的县级以上人民政府规划、国土资源行政主管部门备案。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民航管理部门和民用机场所在地的县级以上人民政府，应当按照国家有关规定划定民用机场净空保护区域，将其纳入当地城乡建设规划和土地利用总体规划管理，并向社会公布。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新建、扩建前，机场所在地的县级以上人民政府应当在工程动工6个月前发布公告，并在当地主要媒体和周边地区刊登、张贴。对可能影响民用机场净空安全的建筑物及设施、树木、灯光或者其他障碍物，由民用机场所在地的县级以上人民政府或者其委托的相关部门组织障碍物所有者在规定的期限内清除、处理。对此造成的损失，应当依法给予补偿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民用机场新建、扩建公告发布后，任何单位和个人不得在净空保护区域内修建、种植、设置影响民用机场净空安全的障碍物。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规划行政主管部门在审批民用机场净空保护区域内的建筑物或者设施项目时，应当书面征求民航管理部门的意见。民航管理部门应当在收到征求意见书之日起15日内作出书面答复。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在民用机场净空保护区域内，禁止下列行为：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（一）修建超过民用机场净空障碍物限制高度的建筑物或者设施；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（二）修建靶场、爆炸物仓库等影响飞行安全的建筑物或者设施；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（三）排放大量烟雾、火焰、粉尘、废气等影响飞行安全的物质；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（四）设置影响民用机场目视助航设施使用的灯光、标志或者物体；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（五）种植影响飞行安全或者影响民用机场助航设施使用的植物；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（六）在机场围界外5米范围内，搭建建筑物或者从事挖掘、堆积物体等影响机场运营安全的活动；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（七）升放无人驾驶自由气球、系留气球和进行飞艇、热气球、滑翔机、动力伞等飞行活动；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（八）放飞影响民用航空安全的鸟类动物和升放风筝、孔明灯等物体；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（九）储存爆炸物品，燃放烟花、爆竹、焰火等；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（十）进行超过净空保护高度要求的爆破或者作业；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（十一）焚烧产生大量烟雾的农作物秸秆、工业废料、垃圾等物质；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（十二）设置易吸引鸟类及其他动物的露天垃圾场、屠宰场、养殖场等场所；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（十三）其他影响民用机场净空安全的活动。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在民用机场净空保护区域外，可能影响飞行安全的高大建筑物或者其他设施，其所有权人应当在民用机场管理机构的指导下按照国家有关规定设置飞行障碍灯和标志，并保持正常显示状态。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民用机场净空保护区边界接壤的区域升放无人驾驶自由气球、系留气球的，必须依法经气象主管机构批准。升放无人驾驶自由气球的，还应当在拟升放2日前持气象主管机构的批准文件向当地空中交通管理部门提出升放申请，空中交通管理部门应当在拟升放1日前作出批准或者不予批准的决定，并通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在民用机场净空保护区边界接壤的区域升放的无人驾驶自由气球、系留气球发生下列异常情形之一的，升放单位或者个人应当立即向空中交通管理部门和气象主管机构报告：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（一）无人驾驶自由气球非正常运行的；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（二）系留气球意外脱离系留的；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（三）其他可能影响飞行安全的异常情形。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民用机场净空保护区边界接壤的区域使用飞艇、热气球、滑翔机、动力伞等航空器从事航空飞行的单位或者个人，需要划定临时飞行空域的，应当持有关升空物体的种类、放飞起止时间、放飞高度、活动范围等文字材料，依法向空中交通管理部门提出书面申请；受理部门在收到申请之日起3日内，决定是否予以批准，并书面告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在民用机场净空保护区域内，民用机场所在地的各级人民政府应当控制、减少吸引鸟类动物的农作物或者植物的晾晒场。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信鸽协会应当做好协会会员、俱乐部等的管理工作，监督其严格遵守有关规定，在饲养、放飞信鸽和组织竞赛等活动时，不得影响民用机场净空安全。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航管理部门和民用机场管理机构应当加强对民用机场净空状况的核查。发现影响民用机场净空安全的情况，应当立即制止，并书面报告民用机场所在地的县级以上人民政府及相关部门。接到报告的县级以上人民政府及相关部门应当及时采取有效措施，消除对飞行安全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电磁环境保护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民用机场电磁环境保护区域，是指为保证民用机场通信设施、设备正常工作而在其周围划定的限制电磁干扰信号和电磁障碍物体的区域。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民用机场所在地的县级以上人民政府无线电管理机构应当会同民航管理部门，按照国家规定和技术标准，划定和调整民用机场电磁环境保护区域，并向社会公布。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民用机场电磁环境保护区域包括设置在民用机场总体规划区域内的民用航空无线电台（站）电磁环境保护区域和民用机场飞行区电磁环境保护区域。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民用机场管理机构应当及时将最新的机场电磁环境保护区域报当地人民政府有关部门备案。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在民用机场电磁环境保护区域内，任何单位或者个人设置的无线电发射设备及产生电磁辐射、反射的设施或者物体，不得妨碍民用航空无线电专用频率的正常使用。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禁止在民用航空无线电台（站）电磁环境保护区域内，从事下列影响民用机场电磁环境的活动：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（一）修建高压输电线、架空金属线、电气化铁路、公路、无线电发射设备试验发射场所等；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（二）存放金属堆积物；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（三）种植高大植物；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（四）掘土、采砂、采石等改变地形地貌的活动；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（五）修建其他可能影响民用机场电磁环境的建筑物或者设施，以及进行其他可能影响民用机场电磁环境的活动。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省人民政府无线电管理机构和民航管理部门按照有关规定就前款所列行为制定具体管理办法。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管理机构和民航管理部门发现民用航空无线电台（站）受到无线电发射设备以及产生电磁辐射、反射的设施或者物体等干扰源的干扰时，应当向民用机场所在地的县级以上人民政府无线电管理机构报告，无线电管理机构应当及时依法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违反本条例的规定，法律、行政法规有处罚规定的，从其规定。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新建、扩建公告发布后，任何单位和个人在民用机场净空保护区域内修建、种植、设置影响民用机场净空安全的障碍物，由民用机场所在地的县级以上人民政府或者其委托的相关部门责令限期清除、处理。对此造成的损失，由修建、种植、设置该障碍物的单位和个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违反本条例第十一条、第二十三条第一款规定的，由民用机场所在地的县级以上人民政府或者其委托的相关部门责令限期改正；情节严重的，处2万元以上10万元以下罚款。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十三条、第十四条规定，未经批准升放无人驾驶自由气球、系留气球或者升放后发生异常情形时不及时报告的，按照职责分工由民用机场所在地的市、州以上人民政府气象主管机构或者空中交通管理部门责令改正，给予警告；情节严重的，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十五条规定，未经批准使用飞艇、热气球、滑翔机、动力伞等航空器从事航空飞行或者未按批准的飞行计划飞行的，由空中交通管理部门责令改正，给予警告；情节严重的，处2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在民用机场净空安全保护工作中，有关国家工作人员违反本条例规定，滥用职权、玩忽职守、徇私舞弊的，由其主管部门或者行政监察部门依法给予行政处分；构成犯罪的，依法追究刑事责任。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本条例中下列用语的含义：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民用机场，是指专供民用航空器起飞、降落、滑行、停放以及进行其他活动使用的划定区域，包括附属的建筑物、装置和设施。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民用航空器，是指除用于执行军事、海关、警察飞行任务外的航空器。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系留气球，是指系留于地面物体上、直径大于1.8米或者体积容量大于3.2立方米、轻于空气的充气物体。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本条例自2011年3月1日起施行。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3CB520D"/>
    <w:rsid w:val="0AA242C8"/>
    <w:rsid w:val="0BA05C4E"/>
    <w:rsid w:val="0E613F98"/>
    <w:rsid w:val="0E8063A5"/>
    <w:rsid w:val="141062FD"/>
    <w:rsid w:val="145F3FF6"/>
    <w:rsid w:val="14A21246"/>
    <w:rsid w:val="1DBE3990"/>
    <w:rsid w:val="2023785B"/>
    <w:rsid w:val="233A30D5"/>
    <w:rsid w:val="255E1476"/>
    <w:rsid w:val="28B27874"/>
    <w:rsid w:val="28BE45FD"/>
    <w:rsid w:val="2A245D72"/>
    <w:rsid w:val="2DD36E57"/>
    <w:rsid w:val="303078F5"/>
    <w:rsid w:val="316C5C93"/>
    <w:rsid w:val="31FF5DFB"/>
    <w:rsid w:val="332348EF"/>
    <w:rsid w:val="33930A84"/>
    <w:rsid w:val="33E76F60"/>
    <w:rsid w:val="34B11651"/>
    <w:rsid w:val="34E77536"/>
    <w:rsid w:val="38084A9F"/>
    <w:rsid w:val="3A766541"/>
    <w:rsid w:val="3BBF1555"/>
    <w:rsid w:val="3D293827"/>
    <w:rsid w:val="3D8C6EDD"/>
    <w:rsid w:val="3E411641"/>
    <w:rsid w:val="3FE86862"/>
    <w:rsid w:val="41411165"/>
    <w:rsid w:val="41A40076"/>
    <w:rsid w:val="45FF18E6"/>
    <w:rsid w:val="47B34309"/>
    <w:rsid w:val="49363115"/>
    <w:rsid w:val="4B4B532B"/>
    <w:rsid w:val="4DA809F5"/>
    <w:rsid w:val="51285669"/>
    <w:rsid w:val="57BD4CBD"/>
    <w:rsid w:val="5BAC5221"/>
    <w:rsid w:val="5CA76D5C"/>
    <w:rsid w:val="5CD904F7"/>
    <w:rsid w:val="60B25BA5"/>
    <w:rsid w:val="60F7609D"/>
    <w:rsid w:val="61723BF4"/>
    <w:rsid w:val="62872CAF"/>
    <w:rsid w:val="629726E2"/>
    <w:rsid w:val="62D469CC"/>
    <w:rsid w:val="63410CB0"/>
    <w:rsid w:val="63873DA2"/>
    <w:rsid w:val="65A9282F"/>
    <w:rsid w:val="67D35732"/>
    <w:rsid w:val="6C4C1B5B"/>
    <w:rsid w:val="6E553898"/>
    <w:rsid w:val="6F9228DD"/>
    <w:rsid w:val="733E46AE"/>
    <w:rsid w:val="780848EE"/>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