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湖北省高速公路管理条例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（2009年3月26日湖北省第十一届人民代表大会常务委员会第九次会议通过　根据2011年12月1日湖北省第十一届人民代表大会常务委员会第二十七次会议《关于修改部分地方性法规中行政强制规定的决定》修正）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经营服务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服务区管理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规范高速公路管理，保障高速公路安全畅通，维护高速公路投资者、经营者和使用者的合法权益，充分发挥其经济效益和社会效益，根据《中华人民共和国公路法》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本条例适用于本省行政区域内高速公路的规划、投资、建设、养护、经营、使用和管理。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高速公路管理应当遵循集中统一、安全高效、生态环保、以人为本、便民利民的原则。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省交通主管部门主管全省高速公路工作。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省交通主管部门所属的省高速公路管理机构依照本条例规定统一行使高速公路行政管理职责。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省公安机关高速公路交通安全管理机构负责全省高速公路交通安全管理工作。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省人民政府其他有关部门和高速公路沿线所在地人民政府应当积极配合，共同做好高速公路相关管理工作。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将全省高速公路的发展纳入国民经济和社会发展规划；省交通主管部门在广泛征询社会各界意见的基础上，根据国民经济和社会发展以及国防建设的需要，会同有关部门并商高速公路沿线所在地人民政府编制全省高速公路发展规划，报省人民政府批准后实施，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省人民政府应当制定本省高速公路突发事件应急预案。省人民政府有关部门和高速公路沿线所在地人民政府应当按照各自职责负责高速公路突发事件的应急处理工作。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任何单位和个人不得破坏、损坏或者非法占用高速公路、高速公路用地及高速公路附属设施，不得在高速公路上及服务区内非法设卡、收费、罚款和拦截检查车辆。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任何单位和个人都有爱护高速公路、高速公路用地及高速公路附属设施的义务，有权检举和控告破坏、损坏高速公路、高速公路用地、高速公路附属设施和影响高速公路安全的行为。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自然灾害致使高速公路交通中断，高速公路经营管理者应当维持现场秩序，组织养护作业单位及时修复，并依法向省高速公路管理机构和所在地人民政府报告；损坏严重难以及时修复的，所在地人民政府应当及时组织抢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高速公路建设应当遵循基本建设程序，严格执行国家规定的工程设计、施工和监理规范及技术标准，保证合理设计施工周期，确保工程质量。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高速公路建设项目应当按照国家有关规定实行招投标制度、项目法人及资本金制度、合同管理制度、工程监理制度和工程质量责任追究制度。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高速公路建设需要移动或者拆迁桥梁、渡槽、管道、杆线、电力和通讯设施等以及对其他道路设施造成损害的，高速公路建设单位应当按照不低于该设施原有的技术标准予以修复，或者给予相应的经济补偿。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国内外经济组织依法投资建设高速公路的应当实行特许经营。投资经营者的合法权益受法律保护。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特许经营项目应当采取招投标方式选定投资经营者。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省人民政府授权省交通主管部门或者市州人民政府与依法成立的高速公路企业项目法人，签订特许经营协议。特许经营协议规范文本由省交通主管部门制定。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高速公路企业项目法人因自身原因，无法继续投资、建设或者经营特许经营项目的，可以请求解除特许经营协议。未经省人民政府批准，高速公路企业项目法人不得以任何形式转让高速公路特许经营权。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国内外经济组织投资建设的高速公路可以采用委托方式经营管理。省高速公路管理机构应当制定和完善委托管理规范，加强指导和监督。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在高速公路规划、建设和经营管理过程中，应当采取措施，保护生态环境和文物古迹，防止水土流失，减少污水排放，降低交通噪声，恢复山体植被，做好公路绿化，保持路容路貌整洁美观。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做好高速公路路网标志、标线的规划，并根据实际情况及时提出变更调整方案，科学合理地引导交通。高速公路经营管理者应当按照国家、省有关规范，清晰、准确设置高速公路标志、标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高速公路经营管理者应当按照国家规定的高速公路养护质量标准、技术规范和操作规程，对高速公路进行养护，保障高速公路及其附属设施处于良好的技术状态。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加强高速公路养护巡查，高速公路及其附属设施遭受损坏的，应当及时组织力量修复；遭受重大损毁，交通严重受阻时，应当采取紧急措施，并报请省高速公路管理机构或者当地人民政府及时组织抢修，尽快恢复交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上跨高速公路的公路桥梁、下穿高速公路的道路、收费站连接线，应当在高速公路建成后移交给当地公路部门养护管理。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除日常维护外，高速公路经营管理者应当依法通过招投标方式，确定具有相应资质的单位对高速公路进行养护，并报省高速公路管理机构备案。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省高速公路管理机构应当对高速公路及其附属设施的养护情况进行检查，对达不到高速公路养护规范要求的，应当责成高速公路经营管理者限期采取相应措施。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养护作业应当科学调度、统筹安排，确定合理的施工时间和工期，减少对车辆通行的影响。高速公路养护作业需要半幅封闭或者中断交通的，高速公路经营管理者应当报省高速公路管理机构和省公安机关高速公路交通安全管理机构同意，除紧急情况外，提前五天向社会公告，并在高速公路入口处设置公告牌，公告应当包含封闭或者中断交通的原因和施工的具体期限以及交通分流的线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养护作业，应当在作业地点设置规范的施工、限速和导向等交通标志，作业人员应当穿着统一的安全标志服，其车辆、机械应当安装示警灯，喷涂明显的标志图案，作业时应当开启示警灯和危险报警闪光灯。过往车辆应当按照设置的导向标志行驶，注意避让作业车辆、机械和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经营服务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高速公路经营管理者经依法批准后可以收取车辆通行费。通行高速公路的货运车辆，其车辆通行费按照省人民政府的规定，采取计重收费的方式收取。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车辆通行费的收费标准，应当依照价格法律、行政法规的规定进行听证，并按照法定程序审查批准。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高速公路收费站应当在显著位置公布收费标准、收费单位、收费起止年限、监督电话等内容，文明收费，接受监督。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通行高速公路的车辆应当足额交纳车辆通行费。车辆通行费的减免按照国家有关规定执行。符合减免规定的车辆，在通行高速公路收费站时，应当主动出示相关证件，经查验后方可通行。任何单位和个人不得随意减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高速公路收费实行全省联网，统一结算和管理。联网方案、收费流程和结算规范，由省高速公路管理机构制定并组织实施和监督。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新建高速公路项目应当根据全省高速公路联网运行和管理的需要，按照规定标准建设高速公路通信、监控、收费等管理系统和设施，经省高速公路管理机构组织检测合格后方可收取车辆通行费。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已建成通车的高速公路不具备前款设施条件的，由高速公路经营管理者负责建设。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省高速公路管理机构应当定期向高速公路经营管理者公布收费结算信息。高速公路经营管理者有权查询本单位的收费结算信息。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高速公路经营管理者应当按照全省统一规划和要求，不断提高联网收费技术和管理水平。逐步推广高速公路全程监控、智能收费等系统，提高车辆通行能力。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联网收费系统的升级改造和维护管理费用从高速公路车辆通行费中计提，专款专用，具体计提标准由省财政、价格主管部门确定。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高速公路经营管理者应当根据车流量开通足够的收费道口，保证车辆畅通。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高速公路经营管理者应当在收费站口、服务区、重要路段等区域逐步建立和完善电子信息平台，及时发布交通状况、施工作业等有关服务信息，由省高速公路管理机构监督实施。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高速公路经营管理者应当及时向省高速公路管理机构提供收费、还贷、路况、交通流量、养护和管理等有关信息资料。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高速公路经营管理者应当建立健全各项规章制度，依法经营，规范收费，提供优质服务。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高速公路经营管理者应当加强对收费站工作人员的业务培训和职业道德教育，收费人员应当持证上岗，做到文明礼貌、规范服务。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服务区管理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高速公路服务区的设置应当遵循统筹规划、合理布局、功能完善、适度超前的原则。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高速公路服务区应当与高速公路同步设计、同步建设、同步运营。省高速公路路网内服务区最大间距不得大于60公里。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因养护维修等原因确需关闭服务区的，应当报省高速公路管理机构批准。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省高速公路管理机构应当制定全省统一的服务区经营管理规范，加强监督管理工作。高速公路经营管理者负责所属高速公路服务区的建设、经营管理工作。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高速公路服务区可以由高速公路经营管理者自主经营，也可以对外承包经营，对外承包经营的，应当采取服务质量招投标的方式确定经营者，经营者应当按照承诺的服务内容、标准提供服务。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高速公路服务区应当提供下列服务设施：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（一）短暂休息、停车场、饮用水供应、公共厕所等免费使用的公益性基本设施；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（二）加油、购物、餐饮以及汽车维修等经营性基本设施；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（三）绿化、水土保持、夜间照明及给排水、污水处理、备用电设备等功能性基本设施。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服务区经营者应当保证服务区设施处于良好状态，保持服务区的安全、清洁、卫生。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高速公路服务区经营者应当公开服务内容、标准、价格，依法经营，诚实守信，文明服务。禁止下列行为：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（一）擅自扩大收费范围、提高服务收费标准；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（二）强制他人接受有偿服务；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（三）刁难、勒索和敲诈司乘人员；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（四）收费不开具合法有效的票据；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（五）其他违法违规行为。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省高速公路管理机构应当对高速公路服务区承包经营者的承包经营行为是否符合经营服务规范进行监督检查。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高速公路服务区所在地公安、卫生、环保、工商、价格等部门应当依据各自职责加强对服务区治安、食品卫生、经营和服务的监督管理。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省高速公路管理机构应当向各高速公路（含在建）派驻路政管理机构。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高速公路路政执法经费从高速公路通行费中列支，纳入省级财政预算，具体办法由省交通主管部门会同财政主管部门制定。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省高速公路管理机构应当加强对高速公路的监督管理，检查、制止各种非法侵占、损坏高速公路、高速公路用地、高速公路附属设施及其他违反本条例规定的行为。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省高速公路管理机构及有关部门应当建立投诉、举报、奖励制度，公布举报电话、通讯地址、电子邮件地址，为举报者保密，并对举报属实者给予奖励。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高速公路路政执法人员执行公务，应当公正廉洁、热情服务、着装整齐、佩戴标志、持证上岗、文明执法。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高速公路监督检查车辆应当按照国家有关规定设置统一的标志和示警灯。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任何单位和个人不得擅自喷印、安装、使用与高速公路监督检查车辆相同或者相似的标志和示警灯。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高速公路监督检查车辆在高速公路上依法执行抢险、救灾等紧急公务时，需要采取紧急通行措施的，应当确保交通安全。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高速公路用地范围按照以下标准确定：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（一）高速公路边沟（隔离栅）外缘起1米的区域；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（二）无高速公路边沟（隔离栅）的，为公路路沿石外缘起5米的区域；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（三）高速公路桥梁为桥梁垂直投影面外缘起1米的区域。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在高速公路及其用地范围内，禁止从事下列活动：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（一）抛洒、堆放物品，倾倒垃圾，排放污水；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（二）设置棚屋、摊点、维修场及其他临时设施；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（三）取土采石，挖损路面，堵塞通道、涵洞、填充边沟；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（四）种植作物，放养牲畜；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（五）擅自安装、拆除、涂改、移动高速公路附属设施、公路标志；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（六）随意上下乘客、装卸货物、载物拖地行驶；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（七）利用高速公路边沟排水、蓄水灌溉、养殖；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（八）其他侵占、污染等损害性活动。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在高速公路及其用地范围内从事下列活动，应当报省高速公路管理机构批准：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（一）设置广告等非公路标志标牌；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（二）修建跨（穿）越公路的建（构）筑物，架设杆线，埋设管道、缆线；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（三）修建出入高速公路的交叉道口；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（四）占（利）用、挖掘高速公路及其公路用地；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（五）更新、砍伐公路树木。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从高速公路用地外缘起50米的区域为高速公路建筑控制区。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公路防护、养护需要外，禁止在高速公路建筑控制区新建、扩建建筑物和地面构筑物，或者从事爆破、采空作业、取土、挖砂、挖沟、排污等可能危及高速公路安全的行为。控制区内原有的合法的建筑物、构筑物需要拆迁的，高速公路经营管理者应当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在高速公路建筑控制区内需埋（架）设管（杆）线、电缆等设施或者设置非公路标志标牌的，应当事先经省高速公路管理机构批准。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高速公路经营管理者应当保证高速公路隧道照明、通风、消防、监控等设施的正常使用，不得随意停止使用，不得影响车辆安全通行。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高速公路消防安全工作由所在地公安消防机构负责。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省高速公路管理机构应当在高速公路出入口、服务区、检测站进行超限运输检查，过往车辆应当按照引导标志行驶到指定地点接受检查，不得强行通过。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高速公路经营管理者应当在高速公路入口、相关跨越高速公路的设施，设置车辆限载、限高、限宽、限长标志。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在高速公路行车道、桥梁、匝道上和隧道内不得检修车辆，因突发故障临时检修的，应当将车辆移入紧急停车带，并对高速公路及其附属设施采取保护措施。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任何单位和个人造成高速公路路产损坏的，应当按照省财政、价格主管部门确定的标准，向省高速公路管理机构交纳路产损坏赔（补）偿费。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车辆在高速公路上发生交通事故时，省公安机关高速公路交通安全管理机构、省高速公路管理机构应当立即派员赶赴现场，组织抢救伤者和保护财产。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省公安机关高速公路交通安全管理机构负责调查事故现场，处理交通事故，维持事故现场的交通秩序并根据需要及时通知清障施救单位进行清障施救。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负责调查处理路产损失情况和相关索赔事宜。省公安机关高速公路交通安全管理机构在处理交通事故涉及路产损失的，应当及时通知省高速公路管理机构；交通事故结案后路产损失赔偿工作仍未处理完毕的，应当将事故车辆交由高速公路管理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省高速公路管理机构应当统一监督管理和规范高速公路清障施救服务，并向社会公布清障施救服务单位、项目和价格等信息。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清障施救服务应当遵循就近、安全、便捷的原则，清障施救服务标准和规程由省高速公路管理机构会同省公安机关高速公路交通安全管理机构制定。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省价格主管部门按照保本微利的原则核定清障施救服务收费标准。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清障施救服务单位应当遵守清障施救服务标准和规程，严格按照省价格主管部门核定的标准收费，不得擅自增加收费项目、扩大收费范围、提高收费标准。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省公安机关高速公路交通安全管理机构和省高速公路管理机构在交通安全和路政管理工作中，应当加强配合，实现信息资源共享。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严重自然灾害、恶劣气候或者重特大交通事故等特殊情形影响车辆正常通行的，省公安机关高速公路交通安全管理机构和省高速公路管理机构应当及时相互通报路况信息，采取限制车速、间断放行等措施对车辆进行疏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采取措施后仍难以保证交通安全确需封闭高速公路的，省公安机关高速公路交通安全管理机构应当征求省高速公路管理机构意见后实施，并及时向社会公告。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高速公路经营管理者应当根据国家和本省有关应急规定，制定高速公路应急处置方案，组织应急处置队伍并定期开展应急处置方案演练。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因重特大交通事故造成高速公路严重堵塞，难以及时恢复交通的，以及装载危险物品车辆发生故障可能造成严重后果的，高速公路所在地人民政府应当组织调集清障施救力量，协助清障施救，排除危险。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违反本条例规定的行为，法律、行政法规有行政处罚规定的，从其规定；造成损害的，依法承担民事责任；构成犯罪的，依法追究刑事责任。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企业项目法人违反特许经营协议以及其他双方约定，造成高速公路项目不能满足开工条件、资金不能及时足额到位、工程不能按期进展、高速公路不能如期投入使用等严重后果又不请求解除特许经营协议的，省人民政府有权撤回特许经营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高速公路经营管理者未按照国家技术规范和操作规程进行公路养护，影响高速公路安全运行的，由省高速公路管理机构责令限期改正；逾期未改正的，由省高速公路管理机构指定其他单位进行养护，所需养护费用由高速公路经营管理者承担；拒不承担的，由省高速公路管理机构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少交、逃交、拒交高速公路车辆通行费的，高速公路经营管理者有权拒绝其通行，并要求其补交应交车辆通行费，省高速公路管理机构可处以本省路网最远站至本站全程通行费2倍的罚款；故意堵塞收费车道的，实行强制牵移，由此造成的损失和产生的相关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高速公路未建立联网收费系统或者联网收费系统未经检测合格就收取车辆通行费的，由省高速公路管理机构责令高速公路经营管理者限期改正；逾期未改正的，没收其通行费收入，并可处以通行费收入所得1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高速公路经营管理者未按规定上缴通行费，影响全省高速公路联网收费统一结算的，由省高速公路管理机构责令限期上缴；逾期不上缴的，按日收取千分之一的滞纳金。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高速公路经营管理者违反本条例规定，有下列情形之一的，由省高速公路管理机构责令限期改正；逾期未改正或者有其他严重情节的，可处5000元以上2万元以下的罚款：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（一）未开通足够数量的收费道口，造成车辆堵塞的；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（二）擅自减免车辆通行费的；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（三）随意停止使用照明、通风等设施，影响车辆安全通行的；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（四）未按照规定设置电子信息设备，及时向社会发布交通状况、施工作业等相关服务信息的；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（五）养护作业擅自半幅封闭道路或者中断交通的。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未按规定开通或者擅自关闭服务区，影响高速公路运营管理的，由省高速公路管理机构责令限期改正；逾期不改正的，处1万元以上5万元以下的罚款；仍不改正的，由省高速公路管理机构指定其他专业机构代为开通，有关费用由高速公路经营管理者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未经批准在高速公路建筑控制区内架设杆线等设施、设置非公路标志标牌的，由省高速公路管理机构责令停止违法行为、限期拆除，并可处以5000元以上2万元以下的罚款；逾期不拆除的，由省高速公路管理机构强制拆除，拆除费用由违法者承担，并可处2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违反本条例规定，在高速公路上检修车辆未对高速公路及其附属设施采取保护措施的，由省高速公路管理机构责令改正；拒不改正的，可处100元以上300元以下的罚款。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清障施救服务单位违反清障施救服务标准和规程的，由省高速公路管理机构责令改正，并可处1000元以上5000元以下的罚款；情节严重的，取消清障施救服务资格。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国家工作人员有下列行为之一的，由有权机关给予行政处分：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（一）不依法实施行政许可的；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（二）扩大罚款范围、变更罚款标准的；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（三）收取高速公路路产损坏赔（补）偿费或者罚款不开具合法票据的；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（四）利用职务上的便利收受他人财物或者谋取其他利益的；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（五）滥用职权、徇私舞弊、故意刁难管理相对人或者强制他人接受有偿服务的；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（六）玩忽职守使国家、集体财产遭受重大损失的；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（八）其他违规违法行为。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本条例有关用语含义如下：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（一）“高速公路”是指按照国家公路工程技术标准建设的专供汽车分向、分车道行驶并应全部控制出入的多车道公路（含桥梁和隧道）。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（二）“高速公路附属设施”包括高速公路的防护、安全、排水、养护、绿化、服务、监控、通信、收费、供电、供水、照明和交通标志、标线及管理等设施、设备和专用的建筑物、构筑物。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（三）“非公路标志标牌”包括除国家标准规定公路标志以外的指路牌、地名牌、厂（店）名牌、宣传牌、广告牌、龙门架、霓虹灯、电子显示屏、橱窗、灯箱和其他标牌设施等。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本条例自2009年6月1日起施行。1997年8月5日湖北省第八届人民代表大会常务委员会第二十九次会议通过的《湖北省高等级公路管理条例》同时废止。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BA05C4E"/>
    <w:rsid w:val="0E613F98"/>
    <w:rsid w:val="0E8063A5"/>
    <w:rsid w:val="141062FD"/>
    <w:rsid w:val="145F3FF6"/>
    <w:rsid w:val="14676A0E"/>
    <w:rsid w:val="14A21246"/>
    <w:rsid w:val="1DBE3990"/>
    <w:rsid w:val="1DF910A9"/>
    <w:rsid w:val="2023785B"/>
    <w:rsid w:val="233A30D5"/>
    <w:rsid w:val="255E1476"/>
    <w:rsid w:val="280064CD"/>
    <w:rsid w:val="28B27874"/>
    <w:rsid w:val="28BE45FD"/>
    <w:rsid w:val="2DD36E57"/>
    <w:rsid w:val="303078F5"/>
    <w:rsid w:val="316C5C93"/>
    <w:rsid w:val="31FF5DFB"/>
    <w:rsid w:val="326F6981"/>
    <w:rsid w:val="332348EF"/>
    <w:rsid w:val="3BBF1555"/>
    <w:rsid w:val="3D293827"/>
    <w:rsid w:val="3D8C6EDD"/>
    <w:rsid w:val="3E411641"/>
    <w:rsid w:val="3FE86862"/>
    <w:rsid w:val="41411165"/>
    <w:rsid w:val="47B34309"/>
    <w:rsid w:val="49363115"/>
    <w:rsid w:val="4C520411"/>
    <w:rsid w:val="57BD4CBD"/>
    <w:rsid w:val="58690F98"/>
    <w:rsid w:val="5BAC5221"/>
    <w:rsid w:val="5CD904F7"/>
    <w:rsid w:val="62872CAF"/>
    <w:rsid w:val="62D469CC"/>
    <w:rsid w:val="63410CB0"/>
    <w:rsid w:val="63873DA2"/>
    <w:rsid w:val="65A9282F"/>
    <w:rsid w:val="6C4C1B5B"/>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