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D02" w:rsidRDefault="009A6D02" w:rsidP="00981880">
      <w:pPr>
        <w:spacing w:line="570" w:lineRule="exact"/>
        <w:rPr>
          <w:rFonts w:ascii="黑体" w:eastAsia="黑体" w:hAnsi="黑体" w:hint="eastAsia"/>
          <w:sz w:val="32"/>
          <w:szCs w:val="32"/>
        </w:rPr>
      </w:pPr>
      <w:bookmarkStart w:id="0" w:name="_GoBack"/>
      <w:bookmarkEnd w:id="0"/>
    </w:p>
    <w:p w:rsidR="009A6D02" w:rsidRDefault="009A6D02" w:rsidP="00981880">
      <w:pPr>
        <w:spacing w:line="570" w:lineRule="exact"/>
        <w:rPr>
          <w:rFonts w:ascii="华文中宋" w:eastAsia="华文中宋" w:hAnsi="华文中宋"/>
          <w:b/>
          <w:bCs/>
          <w:color w:val="000000"/>
          <w:sz w:val="36"/>
          <w:szCs w:val="36"/>
        </w:rPr>
      </w:pPr>
    </w:p>
    <w:p w:rsidR="009A6D02" w:rsidRPr="009A6D02" w:rsidRDefault="009A6D02" w:rsidP="00981880">
      <w:pPr>
        <w:spacing w:line="570" w:lineRule="exact"/>
        <w:jc w:val="center"/>
        <w:rPr>
          <w:rFonts w:ascii="宋体" w:hAnsi="宋体" w:cs="Calibri"/>
          <w:sz w:val="44"/>
          <w:szCs w:val="44"/>
        </w:rPr>
      </w:pPr>
      <w:r w:rsidRPr="009A6D02">
        <w:rPr>
          <w:rFonts w:ascii="宋体" w:hAnsi="宋体" w:cs="Calibri" w:hint="eastAsia"/>
          <w:sz w:val="44"/>
          <w:szCs w:val="44"/>
        </w:rPr>
        <w:t>黄冈市革命遗址遗迹保护条例</w:t>
      </w:r>
    </w:p>
    <w:p w:rsidR="009A6D02" w:rsidRPr="009A6D02" w:rsidRDefault="009A6D02" w:rsidP="00981880">
      <w:pPr>
        <w:spacing w:line="570" w:lineRule="exact"/>
        <w:jc w:val="center"/>
        <w:rPr>
          <w:rFonts w:ascii="宋体" w:hAnsi="宋体" w:cs="Calibri"/>
          <w:sz w:val="32"/>
          <w:szCs w:val="32"/>
        </w:rPr>
      </w:pPr>
    </w:p>
    <w:p w:rsidR="009A6D02" w:rsidRDefault="009A6D02" w:rsidP="00981880">
      <w:pPr>
        <w:spacing w:line="570" w:lineRule="exact"/>
        <w:ind w:leftChars="199" w:left="410" w:rightChars="211" w:right="434"/>
        <w:rPr>
          <w:rFonts w:ascii="楷体_GB2312" w:eastAsia="楷体_GB2312"/>
          <w:color w:val="000000"/>
          <w:sz w:val="32"/>
          <w:szCs w:val="32"/>
        </w:rPr>
      </w:pPr>
      <w:r>
        <w:rPr>
          <w:rFonts w:ascii="楷体_GB2312" w:eastAsia="楷体_GB2312" w:hint="eastAsia"/>
          <w:color w:val="000000"/>
          <w:sz w:val="32"/>
          <w:szCs w:val="32"/>
        </w:rPr>
        <w:t>（2017年8月25日黄冈市第五届人民代表大会常务委员会第五次会议通过  2017年9月29日湖北省第十二届人民代表大会常务委员会第三十次会议批准）</w:t>
      </w:r>
    </w:p>
    <w:p w:rsidR="009A6D02" w:rsidRDefault="009A6D02" w:rsidP="00981880">
      <w:pPr>
        <w:spacing w:line="570" w:lineRule="exact"/>
        <w:jc w:val="center"/>
        <w:rPr>
          <w:rFonts w:ascii="楷体_GB2312" w:eastAsia="楷体_GB2312"/>
          <w:b/>
          <w:bCs/>
          <w:color w:val="000000"/>
          <w:sz w:val="32"/>
          <w:szCs w:val="32"/>
        </w:rPr>
      </w:pPr>
      <w:r>
        <w:rPr>
          <w:rFonts w:ascii="楷体_GB2312" w:eastAsia="楷体_GB2312" w:hint="eastAsia"/>
          <w:b/>
          <w:bCs/>
          <w:color w:val="000000"/>
          <w:sz w:val="32"/>
          <w:szCs w:val="32"/>
        </w:rPr>
        <w:t xml:space="preserve"> </w:t>
      </w:r>
    </w:p>
    <w:p w:rsidR="009A6D02" w:rsidRDefault="009A6D02" w:rsidP="00981880">
      <w:pPr>
        <w:autoSpaceDE w:val="0"/>
        <w:autoSpaceDN w:val="0"/>
        <w:adjustRightInd w:val="0"/>
        <w:spacing w:line="570" w:lineRule="exact"/>
        <w:jc w:val="center"/>
        <w:rPr>
          <w:rFonts w:ascii="楷体_GB2312" w:eastAsia="楷体_GB2312" w:cs="Calibri"/>
          <w:sz w:val="32"/>
          <w:szCs w:val="32"/>
        </w:rPr>
      </w:pPr>
      <w:r>
        <w:rPr>
          <w:rFonts w:ascii="楷体_GB2312" w:eastAsia="楷体_GB2312" w:cs="Calibri" w:hint="eastAsia"/>
          <w:sz w:val="32"/>
          <w:szCs w:val="32"/>
        </w:rPr>
        <w:t>目    录</w:t>
      </w:r>
    </w:p>
    <w:p w:rsidR="009A6D02" w:rsidRDefault="009A6D02" w:rsidP="00981880">
      <w:pPr>
        <w:numPr>
          <w:ilvl w:val="0"/>
          <w:numId w:val="2"/>
        </w:numPr>
        <w:autoSpaceDE w:val="0"/>
        <w:autoSpaceDN w:val="0"/>
        <w:adjustRightInd w:val="0"/>
        <w:spacing w:line="570" w:lineRule="exact"/>
        <w:ind w:firstLine="482"/>
        <w:rPr>
          <w:rFonts w:ascii="楷体_GB2312" w:eastAsia="楷体_GB2312" w:hAnsi="宋体" w:cs="Calibri"/>
          <w:sz w:val="32"/>
          <w:szCs w:val="32"/>
        </w:rPr>
      </w:pPr>
      <w:r>
        <w:rPr>
          <w:rFonts w:ascii="楷体_GB2312" w:eastAsia="楷体_GB2312" w:hAnsi="宋体" w:cs="Calibri" w:hint="eastAsia"/>
          <w:sz w:val="32"/>
          <w:szCs w:val="32"/>
        </w:rPr>
        <w:t xml:space="preserve"> 总则</w:t>
      </w:r>
    </w:p>
    <w:p w:rsidR="009A6D02" w:rsidRDefault="009A6D02" w:rsidP="00981880">
      <w:pPr>
        <w:autoSpaceDE w:val="0"/>
        <w:autoSpaceDN w:val="0"/>
        <w:adjustRightInd w:val="0"/>
        <w:spacing w:line="570" w:lineRule="exact"/>
        <w:ind w:firstLine="482"/>
        <w:rPr>
          <w:rFonts w:ascii="楷体_GB2312" w:eastAsia="楷体_GB2312" w:hAnsi="宋体" w:cs="Calibri"/>
          <w:sz w:val="32"/>
          <w:szCs w:val="32"/>
        </w:rPr>
      </w:pPr>
      <w:r>
        <w:rPr>
          <w:rFonts w:ascii="楷体_GB2312" w:eastAsia="楷体_GB2312" w:hAnsi="宋体" w:cs="Calibri" w:hint="eastAsia"/>
          <w:sz w:val="32"/>
          <w:szCs w:val="32"/>
        </w:rPr>
        <w:t>第二章  调查认定</w:t>
      </w:r>
    </w:p>
    <w:p w:rsidR="009A6D02" w:rsidRDefault="009A6D02" w:rsidP="00981880">
      <w:pPr>
        <w:autoSpaceDE w:val="0"/>
        <w:autoSpaceDN w:val="0"/>
        <w:adjustRightInd w:val="0"/>
        <w:spacing w:line="570" w:lineRule="exact"/>
        <w:ind w:firstLine="482"/>
        <w:rPr>
          <w:rFonts w:ascii="楷体_GB2312" w:eastAsia="楷体_GB2312" w:hAnsi="宋体" w:cs="Calibri"/>
          <w:sz w:val="32"/>
          <w:szCs w:val="32"/>
        </w:rPr>
      </w:pPr>
      <w:r>
        <w:rPr>
          <w:rFonts w:ascii="楷体_GB2312" w:eastAsia="楷体_GB2312" w:hAnsi="宋体" w:cs="Calibri" w:hint="eastAsia"/>
          <w:sz w:val="32"/>
          <w:szCs w:val="32"/>
        </w:rPr>
        <w:t>第三章  保护管理</w:t>
      </w:r>
    </w:p>
    <w:p w:rsidR="009A6D02" w:rsidRDefault="009A6D02" w:rsidP="00981880">
      <w:pPr>
        <w:autoSpaceDE w:val="0"/>
        <w:autoSpaceDN w:val="0"/>
        <w:adjustRightInd w:val="0"/>
        <w:spacing w:line="570" w:lineRule="exact"/>
        <w:ind w:firstLine="482"/>
        <w:rPr>
          <w:rFonts w:ascii="楷体_GB2312" w:eastAsia="楷体_GB2312" w:hAnsi="宋体" w:cs="Calibri"/>
          <w:sz w:val="32"/>
          <w:szCs w:val="32"/>
        </w:rPr>
      </w:pPr>
      <w:r>
        <w:rPr>
          <w:rFonts w:ascii="楷体_GB2312" w:eastAsia="楷体_GB2312" w:hAnsi="宋体" w:cs="Calibri" w:hint="eastAsia"/>
          <w:sz w:val="32"/>
          <w:szCs w:val="32"/>
        </w:rPr>
        <w:t>第四章  法律责任</w:t>
      </w:r>
    </w:p>
    <w:p w:rsidR="009A6D02" w:rsidRDefault="009A6D02" w:rsidP="00981880">
      <w:pPr>
        <w:autoSpaceDE w:val="0"/>
        <w:autoSpaceDN w:val="0"/>
        <w:adjustRightInd w:val="0"/>
        <w:spacing w:line="570" w:lineRule="exact"/>
        <w:ind w:firstLine="482"/>
        <w:rPr>
          <w:rFonts w:ascii="楷体_GB2312" w:eastAsia="楷体_GB2312" w:hAnsi="宋体" w:cs="Calibri"/>
          <w:sz w:val="32"/>
          <w:szCs w:val="32"/>
        </w:rPr>
      </w:pPr>
      <w:r>
        <w:rPr>
          <w:rFonts w:ascii="楷体_GB2312" w:eastAsia="楷体_GB2312" w:hAnsi="宋体" w:cs="Calibri" w:hint="eastAsia"/>
          <w:sz w:val="32"/>
          <w:szCs w:val="32"/>
        </w:rPr>
        <w:t>第五章  附则</w:t>
      </w:r>
    </w:p>
    <w:p w:rsidR="009A6D02" w:rsidRDefault="009A6D02" w:rsidP="00981880">
      <w:pPr>
        <w:autoSpaceDE w:val="0"/>
        <w:autoSpaceDN w:val="0"/>
        <w:adjustRightInd w:val="0"/>
        <w:spacing w:line="570" w:lineRule="exact"/>
        <w:ind w:firstLine="482"/>
        <w:rPr>
          <w:rFonts w:ascii="楷体_GB2312" w:eastAsia="楷体_GB2312" w:hAnsi="宋体" w:cs="Calibri"/>
          <w:sz w:val="32"/>
          <w:szCs w:val="32"/>
        </w:rPr>
      </w:pPr>
      <w:r>
        <w:rPr>
          <w:rFonts w:ascii="楷体_GB2312" w:eastAsia="楷体_GB2312" w:hAnsi="宋体" w:cs="Calibri" w:hint="eastAsia"/>
          <w:sz w:val="32"/>
          <w:szCs w:val="32"/>
        </w:rPr>
        <w:t xml:space="preserve"> </w:t>
      </w:r>
    </w:p>
    <w:p w:rsidR="009A6D02" w:rsidRDefault="009A6D02" w:rsidP="00981880">
      <w:pPr>
        <w:autoSpaceDE w:val="0"/>
        <w:autoSpaceDN w:val="0"/>
        <w:adjustRightInd w:val="0"/>
        <w:spacing w:afterLines="100" w:after="579" w:line="570" w:lineRule="exact"/>
        <w:jc w:val="center"/>
        <w:rPr>
          <w:rFonts w:eastAsia="黑体"/>
          <w:color w:val="000000"/>
          <w:sz w:val="32"/>
          <w:szCs w:val="32"/>
        </w:rPr>
      </w:pPr>
      <w:r>
        <w:rPr>
          <w:rFonts w:ascii="黑体" w:eastAsia="黑体" w:hAnsi="黑体"/>
          <w:color w:val="000000"/>
          <w:sz w:val="32"/>
          <w:szCs w:val="32"/>
        </w:rPr>
        <w:t>第一章</w:t>
      </w:r>
      <w:r>
        <w:rPr>
          <w:rFonts w:ascii="黑体" w:eastAsia="黑体" w:hAnsi="黑体" w:cs="Calibri" w:hint="eastAsia"/>
          <w:color w:val="000000"/>
          <w:sz w:val="32"/>
          <w:szCs w:val="32"/>
        </w:rPr>
        <w:t xml:space="preserve"> </w:t>
      </w:r>
      <w:r>
        <w:rPr>
          <w:rFonts w:ascii="黑体" w:eastAsia="黑体" w:hAnsi="黑体"/>
          <w:color w:val="000000"/>
          <w:sz w:val="32"/>
          <w:szCs w:val="32"/>
        </w:rPr>
        <w:t>总则</w:t>
      </w:r>
    </w:p>
    <w:p w:rsidR="009A6D02" w:rsidRDefault="009A6D02" w:rsidP="00981880">
      <w:pPr>
        <w:autoSpaceDE w:val="0"/>
        <w:spacing w:line="57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第一条</w:t>
      </w:r>
      <w:r>
        <w:rPr>
          <w:rFonts w:ascii="仿宋_GB2312" w:eastAsia="仿宋_GB2312" w:hint="eastAsia"/>
          <w:color w:val="000000"/>
          <w:sz w:val="32"/>
          <w:szCs w:val="32"/>
        </w:rPr>
        <w:t xml:space="preserve">  为加强革命遗址遗迹保护，传承和弘扬革命文化，根据《中华人民共和国文物保护法》《湖北省实施&lt;中华人民共和国文物保护法&gt;办法》等法律法规的规定，结合本市实际，制定本条例。</w:t>
      </w:r>
    </w:p>
    <w:p w:rsidR="009A6D02" w:rsidRDefault="009A6D02" w:rsidP="00981880">
      <w:pPr>
        <w:spacing w:line="57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第二条</w:t>
      </w:r>
      <w:r>
        <w:rPr>
          <w:rFonts w:ascii="仿宋_GB2312" w:eastAsia="仿宋_GB2312" w:hint="eastAsia"/>
          <w:color w:val="000000"/>
          <w:sz w:val="32"/>
          <w:szCs w:val="32"/>
        </w:rPr>
        <w:t xml:space="preserve">  本市行政区域内的革命遗址遗迹保护活动，适用本</w:t>
      </w:r>
      <w:r>
        <w:rPr>
          <w:rFonts w:ascii="仿宋_GB2312" w:eastAsia="仿宋_GB2312" w:hint="eastAsia"/>
          <w:color w:val="000000"/>
          <w:sz w:val="32"/>
          <w:szCs w:val="32"/>
        </w:rPr>
        <w:lastRenderedPageBreak/>
        <w:t>条例。</w:t>
      </w:r>
    </w:p>
    <w:p w:rsidR="009A6D02" w:rsidRDefault="009A6D02" w:rsidP="00981880">
      <w:pPr>
        <w:spacing w:line="57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 xml:space="preserve">第三条 </w:t>
      </w:r>
      <w:r>
        <w:rPr>
          <w:rFonts w:ascii="仿宋_GB2312" w:eastAsia="仿宋_GB2312" w:hint="eastAsia"/>
          <w:color w:val="000000"/>
          <w:sz w:val="32"/>
          <w:szCs w:val="32"/>
        </w:rPr>
        <w:t xml:space="preserve"> 本条例所称革命遗址遗迹是指近代民主革命以来，在争取民族独立、实现民族复兴进程中产生的重要历史活动的遗址、遗迹和纪念设施，主要包括：</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（一）重要机构旧址；</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（二）重要人物故居、旧居、活动地；</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（三）重要事件和重大战斗遗址、遗迹；</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（四）具有重要影响的烈士事迹发生地或者烈士纪念设施；</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（五）中华人民共和国成立后兴建的有关纪念设施。</w:t>
      </w:r>
    </w:p>
    <w:p w:rsidR="009A6D02" w:rsidRDefault="009A6D02" w:rsidP="00981880">
      <w:pPr>
        <w:spacing w:line="57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第四条</w:t>
      </w:r>
      <w:r>
        <w:rPr>
          <w:rFonts w:ascii="仿宋_GB2312" w:eastAsia="仿宋_GB2312" w:hint="eastAsia"/>
          <w:color w:val="000000"/>
          <w:sz w:val="32"/>
          <w:szCs w:val="32"/>
        </w:rPr>
        <w:t xml:space="preserve">  革命遗址遗迹保护应当遵循分级保护、属地管理、抢救第一、合理利用的原则，保持历史真实性和风貌完整性。</w:t>
      </w:r>
    </w:p>
    <w:p w:rsidR="009A6D02" w:rsidRDefault="009A6D02" w:rsidP="00981880">
      <w:pPr>
        <w:spacing w:line="57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第五条</w:t>
      </w:r>
      <w:r>
        <w:rPr>
          <w:rFonts w:ascii="仿宋_GB2312" w:eastAsia="仿宋_GB2312" w:hint="eastAsia"/>
          <w:color w:val="000000"/>
          <w:sz w:val="32"/>
          <w:szCs w:val="32"/>
        </w:rPr>
        <w:t xml:space="preserve">  市、县（市、区）人民政府应当加强革命遗址遗迹保护工作的组织领导，落实管理机构和人员，明确工作职责；建立革命遗址遗迹保护联席会议制度，将革命遗址遗迹保护事业纳入国民经济和社会发展规划，所需经费纳入本级财政预算。</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文物主管部门负责指导、协调和监督本行政区域内革命遗址遗迹保护管理工作。</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民政主管部门负责本行政区域内烈士纪念设施类革命遗址遗迹的保护管理工作。</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发展改革、公安、财政、国土资源、住房城乡建设、城乡规划、旅游、城市管理、消防等部门，按照各自职责做好革命遗址遗迹保护相关管理工作。</w:t>
      </w:r>
    </w:p>
    <w:p w:rsidR="009A6D02" w:rsidRDefault="009A6D02" w:rsidP="00981880">
      <w:pPr>
        <w:spacing w:line="57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lastRenderedPageBreak/>
        <w:t>第六条</w:t>
      </w:r>
      <w:r>
        <w:rPr>
          <w:rFonts w:ascii="仿宋_GB2312" w:eastAsia="仿宋_GB2312" w:hint="eastAsia"/>
          <w:color w:val="000000"/>
          <w:sz w:val="32"/>
          <w:szCs w:val="32"/>
        </w:rPr>
        <w:t xml:space="preserve">  乡镇人民政府、街道办事处在县（市、区）文物主管部门和民政部门的指导下，协助开展本辖区革命遗址遗迹的保护管理工作。</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村（居）民委员会协助有关部门做好本辖区内革命遗址遗迹保护的相关工作。</w:t>
      </w:r>
    </w:p>
    <w:p w:rsidR="009A6D02" w:rsidRDefault="009A6D02" w:rsidP="00981880">
      <w:pPr>
        <w:spacing w:line="57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第七条</w:t>
      </w:r>
      <w:r>
        <w:rPr>
          <w:rFonts w:ascii="仿宋_GB2312" w:eastAsia="仿宋_GB2312" w:hint="eastAsia"/>
          <w:color w:val="000000"/>
          <w:sz w:val="32"/>
          <w:szCs w:val="32"/>
        </w:rPr>
        <w:t xml:space="preserve">  对革命遗址遗迹保护作出突出贡献的单位和个人，市、县（市、区）人民政府应当给予奖励。</w:t>
      </w:r>
    </w:p>
    <w:p w:rsidR="009A6D02" w:rsidRDefault="009A6D02" w:rsidP="00981880">
      <w:pPr>
        <w:spacing w:line="57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第八条</w:t>
      </w:r>
      <w:r>
        <w:rPr>
          <w:rFonts w:ascii="仿宋_GB2312" w:eastAsia="仿宋_GB2312" w:hint="eastAsia"/>
          <w:color w:val="000000"/>
          <w:sz w:val="32"/>
          <w:szCs w:val="32"/>
        </w:rPr>
        <w:t xml:space="preserve">  革命遗址遗迹所在地的人民政府应当在保证革命遗址遗迹安全的前提下，合理利用革命遗址遗迹资源，加强对革命遗址遗迹内涵和历史价值的研究和展示，充分发挥其纪念、教育、传承等公共文化服务和社会教育功能。</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各级人民政府及有关部门应当加强革命遗址遗迹保护法律法规和政策的宣传教育，新闻媒体应当加强革命遗址遗迹保护的公益宣传。</w:t>
      </w:r>
    </w:p>
    <w:p w:rsidR="009A6D02" w:rsidRDefault="009A6D02" w:rsidP="00981880">
      <w:pPr>
        <w:autoSpaceDE w:val="0"/>
        <w:autoSpaceDN w:val="0"/>
        <w:adjustRightInd w:val="0"/>
        <w:spacing w:beforeLines="100" w:before="579" w:afterLines="100" w:after="579" w:line="570" w:lineRule="exact"/>
        <w:jc w:val="center"/>
        <w:rPr>
          <w:rFonts w:eastAsia="黑体"/>
          <w:color w:val="000000"/>
          <w:sz w:val="32"/>
          <w:szCs w:val="32"/>
        </w:rPr>
      </w:pPr>
      <w:r>
        <w:rPr>
          <w:rFonts w:ascii="黑体" w:eastAsia="黑体" w:hAnsi="黑体"/>
          <w:color w:val="000000"/>
          <w:sz w:val="32"/>
          <w:szCs w:val="32"/>
        </w:rPr>
        <w:t>第二章</w:t>
      </w:r>
      <w:r>
        <w:rPr>
          <w:rFonts w:ascii="黑体" w:eastAsia="黑体" w:hAnsi="黑体" w:cs="Calibri" w:hint="eastAsia"/>
          <w:color w:val="000000"/>
          <w:sz w:val="32"/>
          <w:szCs w:val="32"/>
        </w:rPr>
        <w:t xml:space="preserve"> </w:t>
      </w:r>
      <w:r>
        <w:rPr>
          <w:rFonts w:ascii="黑体" w:eastAsia="黑体" w:hAnsi="黑体"/>
          <w:color w:val="000000"/>
          <w:sz w:val="32"/>
          <w:szCs w:val="32"/>
        </w:rPr>
        <w:t>调查认定</w:t>
      </w:r>
    </w:p>
    <w:p w:rsidR="009A6D02" w:rsidRDefault="009A6D02" w:rsidP="00981880">
      <w:pPr>
        <w:spacing w:line="57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第九条</w:t>
      </w:r>
      <w:r>
        <w:rPr>
          <w:rFonts w:ascii="仿宋_GB2312" w:eastAsia="仿宋_GB2312" w:hint="eastAsia"/>
          <w:color w:val="000000"/>
          <w:sz w:val="32"/>
          <w:szCs w:val="32"/>
        </w:rPr>
        <w:t xml:space="preserve">  市、县（市、区）人民政府应当成立革命遗址遗迹专家委员会，负责本行政区域内革命遗址遗迹的调查、审核与论证。</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革命遗址遗迹应当由专家委员会提出书面认定意见，由文物主管部门研究出具认定报告后，由同级人民政府向社会公告。</w:t>
      </w:r>
    </w:p>
    <w:p w:rsidR="009A6D02" w:rsidRDefault="009A6D02" w:rsidP="00981880">
      <w:pPr>
        <w:spacing w:line="57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lastRenderedPageBreak/>
        <w:t>第十条</w:t>
      </w:r>
      <w:r>
        <w:rPr>
          <w:rFonts w:ascii="仿宋_GB2312" w:eastAsia="仿宋_GB2312" w:hint="eastAsia"/>
          <w:color w:val="000000"/>
          <w:sz w:val="32"/>
          <w:szCs w:val="32"/>
        </w:rPr>
        <w:t xml:space="preserve">  市、县（市、区）人民政府应当每五年对革命遗址遗迹进行一次普查，建立革命遗址遗迹数据库，编制革命遗址遗迹保护名录并向社会公布。</w:t>
      </w:r>
    </w:p>
    <w:p w:rsidR="009A6D02" w:rsidRDefault="009A6D02" w:rsidP="00981880">
      <w:pPr>
        <w:spacing w:line="57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第十一条</w:t>
      </w:r>
      <w:r>
        <w:rPr>
          <w:rFonts w:ascii="仿宋_GB2312" w:eastAsia="仿宋_GB2312" w:hint="eastAsia"/>
          <w:color w:val="000000"/>
          <w:sz w:val="32"/>
          <w:szCs w:val="32"/>
        </w:rPr>
        <w:t xml:space="preserve">  对列入革命遗址遗迹保护名录的，由市、县（市、区）人民政府根据其历史价值内涵和现状，依法认定为市、县级文物保护单位或者申报更高级别的文物保护单位。</w:t>
      </w:r>
    </w:p>
    <w:p w:rsidR="009A6D02" w:rsidRDefault="009A6D02" w:rsidP="00981880">
      <w:pPr>
        <w:autoSpaceDE w:val="0"/>
        <w:autoSpaceDN w:val="0"/>
        <w:adjustRightInd w:val="0"/>
        <w:spacing w:beforeLines="100" w:before="579" w:afterLines="100" w:after="579" w:line="570" w:lineRule="exact"/>
        <w:jc w:val="center"/>
        <w:rPr>
          <w:rFonts w:eastAsia="黑体"/>
          <w:color w:val="000000"/>
          <w:sz w:val="32"/>
          <w:szCs w:val="32"/>
        </w:rPr>
      </w:pPr>
      <w:r>
        <w:rPr>
          <w:rFonts w:ascii="黑体" w:eastAsia="黑体" w:hAnsi="黑体"/>
          <w:color w:val="000000"/>
          <w:sz w:val="32"/>
          <w:szCs w:val="32"/>
        </w:rPr>
        <w:t>第三章</w:t>
      </w:r>
      <w:r>
        <w:rPr>
          <w:rFonts w:ascii="黑体" w:eastAsia="黑体" w:hAnsi="黑体" w:cs="Calibri" w:hint="eastAsia"/>
          <w:color w:val="000000"/>
          <w:sz w:val="32"/>
          <w:szCs w:val="32"/>
        </w:rPr>
        <w:t xml:space="preserve"> </w:t>
      </w:r>
      <w:r>
        <w:rPr>
          <w:rFonts w:ascii="黑体" w:eastAsia="黑体" w:hAnsi="黑体"/>
          <w:color w:val="000000"/>
          <w:sz w:val="32"/>
          <w:szCs w:val="32"/>
        </w:rPr>
        <w:t>保护管理</w:t>
      </w:r>
    </w:p>
    <w:p w:rsidR="009A6D02" w:rsidRDefault="009A6D02" w:rsidP="00981880">
      <w:pPr>
        <w:spacing w:line="57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第十二条</w:t>
      </w:r>
      <w:r>
        <w:rPr>
          <w:rFonts w:ascii="仿宋_GB2312" w:eastAsia="仿宋_GB2312" w:hint="eastAsia"/>
          <w:color w:val="000000"/>
          <w:sz w:val="32"/>
          <w:szCs w:val="32"/>
        </w:rPr>
        <w:t xml:space="preserve">  实行革命遗址遗迹保护终身责任追究制，市、县（市、区）人民政府主要负责人对本行政区域内的革命遗址遗迹保护工作负总责，分管负责人负直接责任。</w:t>
      </w:r>
    </w:p>
    <w:p w:rsidR="009A6D02" w:rsidRDefault="009A6D02" w:rsidP="00981880">
      <w:pPr>
        <w:spacing w:line="57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第十三条</w:t>
      </w:r>
      <w:r>
        <w:rPr>
          <w:rFonts w:ascii="仿宋_GB2312" w:eastAsia="仿宋_GB2312" w:hint="eastAsia"/>
          <w:color w:val="000000"/>
          <w:sz w:val="32"/>
          <w:szCs w:val="32"/>
        </w:rPr>
        <w:t xml:space="preserve">  对已经列入保护名录的革命遗址遗迹，市、县（市、区）人民政府应当划定保护范围、设置保护标志并予以公示，建立记录档案并根据实际情况分别确定专门机构或者专人负责日常管理，并建立文物保护员制度。</w:t>
      </w:r>
    </w:p>
    <w:p w:rsidR="009A6D02" w:rsidRDefault="009A6D02" w:rsidP="00981880">
      <w:pPr>
        <w:spacing w:line="57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第十四条</w:t>
      </w:r>
      <w:r>
        <w:rPr>
          <w:rFonts w:ascii="仿宋_GB2312" w:eastAsia="仿宋_GB2312" w:hint="eastAsia"/>
          <w:color w:val="000000"/>
          <w:sz w:val="32"/>
          <w:szCs w:val="32"/>
        </w:rPr>
        <w:t xml:space="preserve">  市、县（市、区）人民政府应当对革命遗址遗迹日常修缮、安全巡查、文物保护员聘用等经费予以保障。</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革命遗址遗迹发生重大安全紧急情况的，市、县（市、区）人民政府应当及时安排专项资金，进行抢救性保护。</w:t>
      </w:r>
    </w:p>
    <w:p w:rsidR="009A6D02" w:rsidRDefault="009A6D02" w:rsidP="00981880">
      <w:pPr>
        <w:spacing w:line="57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第十五条</w:t>
      </w:r>
      <w:r>
        <w:rPr>
          <w:rFonts w:ascii="仿宋_GB2312" w:eastAsia="仿宋_GB2312" w:hint="eastAsia"/>
          <w:color w:val="000000"/>
          <w:sz w:val="32"/>
          <w:szCs w:val="32"/>
        </w:rPr>
        <w:t xml:space="preserve">  市、县（市、区）人民政府制定城乡规划，应当根据革命遗址遗迹保护的需要，由城乡规划主管部门会同文物主</w:t>
      </w:r>
      <w:r>
        <w:rPr>
          <w:rFonts w:ascii="仿宋_GB2312" w:eastAsia="仿宋_GB2312" w:hint="eastAsia"/>
          <w:color w:val="000000"/>
          <w:sz w:val="32"/>
          <w:szCs w:val="32"/>
        </w:rPr>
        <w:lastRenderedPageBreak/>
        <w:t>管部门制定本行政区域内革命遗址遗迹保护措施，并纳入规划。</w:t>
      </w:r>
    </w:p>
    <w:p w:rsidR="009A6D02" w:rsidRDefault="009A6D02" w:rsidP="00981880">
      <w:pPr>
        <w:spacing w:line="57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第十六条</w:t>
      </w:r>
      <w:r>
        <w:rPr>
          <w:rFonts w:ascii="仿宋_GB2312" w:eastAsia="仿宋_GB2312" w:hint="eastAsia"/>
          <w:color w:val="000000"/>
          <w:sz w:val="32"/>
          <w:szCs w:val="32"/>
        </w:rPr>
        <w:t xml:space="preserve">  对已经列入保护名录的革命遗址遗迹，禁止下列行为：</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（一）在革命遗址遗迹上粘贴或者刻划、涂污；</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 xml:space="preserve">（二）在革命遗址遗迹上设置非保护用的广告标牌； </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（三）转让、抵押非国有革命遗址遗迹或者改变其用途未依法备案;</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（四）未经批准改变国有革命遗址遗迹用途;</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（五）擅自改建、迁移、拆除革命遗址遗迹；</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（六）法律法规规定的其他情形。</w:t>
      </w:r>
    </w:p>
    <w:p w:rsidR="009A6D02" w:rsidRDefault="009A6D02" w:rsidP="00981880">
      <w:pPr>
        <w:spacing w:line="57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第十七条</w:t>
      </w:r>
      <w:r>
        <w:rPr>
          <w:rFonts w:ascii="仿宋_GB2312" w:eastAsia="仿宋_GB2312" w:hint="eastAsia"/>
          <w:color w:val="000000"/>
          <w:sz w:val="32"/>
          <w:szCs w:val="32"/>
        </w:rPr>
        <w:t xml:space="preserve">  在革命遗址遗迹保护范围内禁止下列行为：</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 xml:space="preserve">（一）堆放易燃、易爆、腐蚀性等危险品； </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（二）未经批准进行爆破、钻探、挖掘等作业；</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（三）未经批准建设与革命遗址遗迹保护无关的建筑物、构筑物；</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（四）其他对革命遗址遗迹可能造成破坏性影响的活动。</w:t>
      </w:r>
    </w:p>
    <w:p w:rsidR="009A6D02" w:rsidRDefault="009A6D02" w:rsidP="00981880">
      <w:pPr>
        <w:spacing w:line="57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第十八条</w:t>
      </w:r>
      <w:r>
        <w:rPr>
          <w:rFonts w:ascii="仿宋_GB2312" w:eastAsia="仿宋_GB2312" w:hint="eastAsia"/>
          <w:color w:val="000000"/>
          <w:sz w:val="32"/>
          <w:szCs w:val="32"/>
        </w:rPr>
        <w:t xml:space="preserve">  在革命遗址遗迹的建设控制地带内进行建设工程，其设计方案应当根据文物保护单位的级别，经相应文物主管部门同意后，报城乡建设规划部门批准方可实施。</w:t>
      </w:r>
    </w:p>
    <w:p w:rsidR="009A6D02" w:rsidRDefault="009A6D02" w:rsidP="00981880">
      <w:pPr>
        <w:spacing w:line="57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第十九条</w:t>
      </w:r>
      <w:r>
        <w:rPr>
          <w:rFonts w:ascii="仿宋_GB2312" w:eastAsia="仿宋_GB2312" w:hint="eastAsia"/>
          <w:color w:val="000000"/>
          <w:sz w:val="32"/>
          <w:szCs w:val="32"/>
        </w:rPr>
        <w:t xml:space="preserve">  在建设或经营活动中发现疑似革命遗址遗迹的，应当保护现场并立即报告当地人民政府或者文物主管部门。接到报告的单位应当在二十四小时内赶赴现场处理。</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lastRenderedPageBreak/>
        <w:t>革命遗址遗迹中发现的文物，任何单位或者个人不得哄抢、私分、藏匿。</w:t>
      </w:r>
    </w:p>
    <w:p w:rsidR="009A6D02" w:rsidRDefault="009A6D02" w:rsidP="00981880">
      <w:pPr>
        <w:spacing w:line="57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第二十条</w:t>
      </w:r>
      <w:r>
        <w:rPr>
          <w:rFonts w:ascii="仿宋_GB2312" w:eastAsia="仿宋_GB2312" w:hint="eastAsia"/>
          <w:color w:val="000000"/>
          <w:sz w:val="32"/>
          <w:szCs w:val="32"/>
        </w:rPr>
        <w:t xml:space="preserve">  革命遗址遗迹的日常管理维护，按照下列规定确定管护责任人：</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（一）革命遗址遗迹所依存的建筑物、构筑物为国有的，其法定代表人或者使用人为管护责任人；</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（二）革命遗址遗迹所依存的建筑物、构筑物为集体所有的，其所在地村（居）民委员会或者使用人为管护责任人；</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（三）革命遗址遗迹所依存的建筑物、构筑物为共有的，其共有人或者使用人为管护责任人；</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（四）革命遗址遗迹所依存的建筑物、构筑物为个人所有的，其所有人或者使用人为管护责任人；</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（五）革命遗址遗迹所有人或者使用人不明确的，由所在地县（市、区）人民政府指定管护责任人。</w:t>
      </w:r>
    </w:p>
    <w:p w:rsidR="009A6D02" w:rsidRDefault="009A6D02" w:rsidP="00981880">
      <w:pPr>
        <w:spacing w:line="57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 xml:space="preserve">第二十一条 </w:t>
      </w:r>
      <w:r>
        <w:rPr>
          <w:rFonts w:ascii="仿宋_GB2312" w:eastAsia="仿宋_GB2312" w:hint="eastAsia"/>
          <w:color w:val="000000"/>
          <w:sz w:val="32"/>
          <w:szCs w:val="32"/>
        </w:rPr>
        <w:t xml:space="preserve"> 革命遗址遗迹管护责任人应当履行下列责任：</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（一）学习宣传文物保护法律法规；</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 xml:space="preserve">（二）开展日常巡查； </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（三）落实防火、防盗、防破坏等安全措施，发现安全险情时，应当立即采取抢救措施并向有关部门报告；</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 xml:space="preserve">（四）保持革命遗址遗迹原状，不得损毁或者擅自改建、拆除其所依存的建筑物、构筑物及其他设施；    </w:t>
      </w:r>
    </w:p>
    <w:p w:rsidR="009A6D02" w:rsidRDefault="009A6D02" w:rsidP="00981880">
      <w:pPr>
        <w:spacing w:line="57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（五）发现破坏革命遗址遗迹行为的，及时报告；</w:t>
      </w:r>
    </w:p>
    <w:p w:rsidR="009A6D02" w:rsidRDefault="009A6D02" w:rsidP="00981880">
      <w:pPr>
        <w:spacing w:line="54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lastRenderedPageBreak/>
        <w:t>（六）进行日常保养与维护，承担日常修缮或者配合相关部门开展维修工作。管护责任人不具备修缮能力的，由县级以上人民政府依法给予资助。</w:t>
      </w:r>
    </w:p>
    <w:p w:rsidR="009A6D02" w:rsidRDefault="009A6D02" w:rsidP="00981880">
      <w:pPr>
        <w:spacing w:line="54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第二十二条</w:t>
      </w:r>
      <w:r>
        <w:rPr>
          <w:rFonts w:ascii="仿宋_GB2312" w:eastAsia="仿宋_GB2312" w:hint="eastAsia"/>
          <w:color w:val="000000"/>
          <w:sz w:val="32"/>
          <w:szCs w:val="32"/>
        </w:rPr>
        <w:t xml:space="preserve">  革命遗址遗迹修缮工程方案应当根据文物保护单位的级别，报经相应文物主管部门审批。具体修缮工作由取得文物保护工程资质的单位承担。 </w:t>
      </w:r>
    </w:p>
    <w:p w:rsidR="009A6D02" w:rsidRDefault="009A6D02" w:rsidP="00981880">
      <w:pPr>
        <w:spacing w:line="54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第二十三条</w:t>
      </w:r>
      <w:r>
        <w:rPr>
          <w:rFonts w:ascii="仿宋_GB2312" w:eastAsia="仿宋_GB2312" w:hint="eastAsia"/>
          <w:color w:val="000000"/>
          <w:sz w:val="32"/>
          <w:szCs w:val="32"/>
        </w:rPr>
        <w:t xml:space="preserve">  鼓励社会力量采用出资、捐资、捐赠、认领等方式，参与革命遗址遗迹的保护工作。</w:t>
      </w:r>
    </w:p>
    <w:p w:rsidR="009A6D02" w:rsidRDefault="009A6D02" w:rsidP="00981880">
      <w:pPr>
        <w:spacing w:line="54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公民、法人和其他组织出资修缮革命遗址遗迹的，依法享受国家相关优惠政策。</w:t>
      </w:r>
    </w:p>
    <w:p w:rsidR="009A6D02" w:rsidRDefault="009A6D02" w:rsidP="00981880">
      <w:pPr>
        <w:autoSpaceDE w:val="0"/>
        <w:autoSpaceDN w:val="0"/>
        <w:adjustRightInd w:val="0"/>
        <w:spacing w:beforeLines="100" w:before="579" w:afterLines="100" w:after="579" w:line="540" w:lineRule="exact"/>
        <w:jc w:val="center"/>
        <w:rPr>
          <w:rFonts w:eastAsia="黑体"/>
          <w:color w:val="000000"/>
          <w:sz w:val="32"/>
          <w:szCs w:val="32"/>
        </w:rPr>
      </w:pPr>
      <w:r>
        <w:rPr>
          <w:rFonts w:ascii="黑体" w:eastAsia="黑体" w:hAnsi="黑体"/>
          <w:color w:val="000000"/>
          <w:sz w:val="32"/>
          <w:szCs w:val="32"/>
        </w:rPr>
        <w:t>第四章</w:t>
      </w:r>
      <w:r>
        <w:rPr>
          <w:rFonts w:ascii="黑体" w:eastAsia="黑体" w:hAnsi="黑体" w:cs="Calibri" w:hint="eastAsia"/>
          <w:color w:val="000000"/>
          <w:sz w:val="32"/>
          <w:szCs w:val="32"/>
        </w:rPr>
        <w:t xml:space="preserve"> </w:t>
      </w:r>
      <w:r>
        <w:rPr>
          <w:rFonts w:ascii="黑体" w:eastAsia="黑体" w:hAnsi="黑体"/>
          <w:color w:val="000000"/>
          <w:sz w:val="32"/>
          <w:szCs w:val="32"/>
        </w:rPr>
        <w:t>法律责任</w:t>
      </w:r>
    </w:p>
    <w:p w:rsidR="009A6D02" w:rsidRDefault="009A6D02" w:rsidP="00981880">
      <w:pPr>
        <w:spacing w:line="54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第二十四条</w:t>
      </w:r>
      <w:r>
        <w:rPr>
          <w:rFonts w:ascii="仿宋_GB2312" w:eastAsia="仿宋_GB2312" w:hint="eastAsia"/>
          <w:color w:val="000000"/>
          <w:sz w:val="32"/>
          <w:szCs w:val="32"/>
        </w:rPr>
        <w:t xml:space="preserve">  市、县（市、区）人民政府及有关单位及其工作人员违反本条例规定，在革命遗址遗迹保护管理工作中滥用职权、玩忽职守、徇私舞弊，造成革命遗址遗迹损毁的，对负有责任的主管人员和其他直接责任人员依法给予行政处分;构成犯罪的，依法追究刑事责任 。</w:t>
      </w:r>
    </w:p>
    <w:p w:rsidR="009A6D02" w:rsidRDefault="009A6D02" w:rsidP="00981880">
      <w:pPr>
        <w:spacing w:line="54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第二十五条</w:t>
      </w:r>
      <w:r>
        <w:rPr>
          <w:rFonts w:ascii="仿宋_GB2312" w:eastAsia="仿宋_GB2312" w:hint="eastAsia"/>
          <w:color w:val="000000"/>
          <w:sz w:val="32"/>
          <w:szCs w:val="32"/>
        </w:rPr>
        <w:t xml:space="preserve">  违反本条例第十六条规定的，按下列规定处理：</w:t>
      </w:r>
    </w:p>
    <w:p w:rsidR="009A6D02" w:rsidRDefault="009A6D02" w:rsidP="00981880">
      <w:pPr>
        <w:spacing w:line="54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（一）违反第一项的，由公安机关处警告或者二百元以下罚款;情节较重的，处二百元以上五百元以下罚款；</w:t>
      </w:r>
    </w:p>
    <w:p w:rsidR="009A6D02" w:rsidRDefault="009A6D02" w:rsidP="00981880">
      <w:pPr>
        <w:spacing w:line="54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（二）违反第二项的，由城管部门责令限期改正或者自行拆除，并处一千元以上二万元以下的罚款；</w:t>
      </w:r>
    </w:p>
    <w:p w:rsidR="009A6D02" w:rsidRDefault="009A6D02" w:rsidP="00981880">
      <w:pPr>
        <w:spacing w:line="54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lastRenderedPageBreak/>
        <w:t>（三）违反第三项的，由文物主管部门责令改正；</w:t>
      </w:r>
    </w:p>
    <w:p w:rsidR="009A6D02" w:rsidRDefault="009A6D02" w:rsidP="00981880">
      <w:pPr>
        <w:spacing w:line="54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（四）违反第四项的，由文物主管部门责令改正，没收违法所得，违法所得一万元以上的，并处违法所得二倍以上五倍以下的罚款；违法所得不足一万元的，并处五千元以上二万元以下的罚款；</w:t>
      </w:r>
    </w:p>
    <w:p w:rsidR="009A6D02" w:rsidRDefault="009A6D02" w:rsidP="00981880">
      <w:pPr>
        <w:spacing w:line="54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（五）违反第五项的，由文物主管部门责令改正，造成严重后果的，处五万元以上五十万元以下的罚款；情节严重的，由原发证机关依法吊销资质证书。</w:t>
      </w:r>
    </w:p>
    <w:p w:rsidR="009A6D02" w:rsidRDefault="009A6D02" w:rsidP="00981880">
      <w:pPr>
        <w:spacing w:line="54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第二十六条</w:t>
      </w:r>
      <w:r>
        <w:rPr>
          <w:rFonts w:ascii="仿宋_GB2312" w:eastAsia="仿宋_GB2312" w:hint="eastAsia"/>
          <w:color w:val="000000"/>
          <w:sz w:val="32"/>
          <w:szCs w:val="32"/>
        </w:rPr>
        <w:t xml:space="preserve">  违反本条例第十七条规定的，按下列规定处理：</w:t>
      </w:r>
    </w:p>
    <w:p w:rsidR="009A6D02" w:rsidRDefault="009A6D02" w:rsidP="00981880">
      <w:pPr>
        <w:spacing w:line="54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（一）违反第一项的，由公安机关依据《中华人民共和国治安管理处罚法》的相关规定予以处罚；</w:t>
      </w:r>
    </w:p>
    <w:p w:rsidR="009A6D02" w:rsidRPr="009A6D02" w:rsidRDefault="009A6D02" w:rsidP="00981880">
      <w:pPr>
        <w:spacing w:line="540" w:lineRule="exact"/>
        <w:ind w:firstLineChars="200" w:firstLine="632"/>
        <w:rPr>
          <w:rFonts w:ascii="仿宋_GB2312" w:eastAsia="仿宋_GB2312"/>
          <w:color w:val="000000"/>
          <w:sz w:val="32"/>
          <w:szCs w:val="32"/>
        </w:rPr>
      </w:pPr>
      <w:r>
        <w:rPr>
          <w:rFonts w:ascii="仿宋_GB2312" w:eastAsia="仿宋_GB2312" w:hint="eastAsia"/>
          <w:color w:val="000000"/>
          <w:sz w:val="32"/>
          <w:szCs w:val="32"/>
        </w:rPr>
        <w:t>（二）违反第二项、第三项的，由文物主管部门责令限期改正，造成严重后果的，处五万元以上五十万元以下的罚款；情节严重的，由原发证机关依法吊销资质证书。</w:t>
      </w:r>
    </w:p>
    <w:p w:rsidR="009A6D02" w:rsidRDefault="009A6D02" w:rsidP="00981880">
      <w:pPr>
        <w:spacing w:line="54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 xml:space="preserve">第二十七条 </w:t>
      </w:r>
      <w:r>
        <w:rPr>
          <w:rFonts w:ascii="仿宋_GB2312" w:eastAsia="仿宋_GB2312" w:hint="eastAsia"/>
          <w:color w:val="000000"/>
          <w:sz w:val="32"/>
          <w:szCs w:val="32"/>
        </w:rPr>
        <w:t xml:space="preserve"> 违反本条例，法律、法规已有规定的，从其规定。</w:t>
      </w:r>
    </w:p>
    <w:p w:rsidR="009A6D02" w:rsidRDefault="009A6D02" w:rsidP="00981880">
      <w:pPr>
        <w:autoSpaceDE w:val="0"/>
        <w:autoSpaceDN w:val="0"/>
        <w:adjustRightInd w:val="0"/>
        <w:spacing w:beforeLines="100" w:before="579" w:afterLines="100" w:after="579" w:line="540" w:lineRule="exact"/>
        <w:jc w:val="center"/>
        <w:rPr>
          <w:rFonts w:eastAsia="黑体"/>
          <w:color w:val="000000"/>
          <w:sz w:val="32"/>
          <w:szCs w:val="32"/>
        </w:rPr>
      </w:pPr>
      <w:r>
        <w:rPr>
          <w:rFonts w:ascii="黑体" w:eastAsia="黑体" w:hAnsi="黑体"/>
          <w:color w:val="000000"/>
          <w:sz w:val="32"/>
          <w:szCs w:val="32"/>
        </w:rPr>
        <w:t>第五章</w:t>
      </w:r>
      <w:r>
        <w:rPr>
          <w:rFonts w:ascii="黑体" w:eastAsia="黑体" w:hAnsi="黑体" w:cs="Calibri" w:hint="eastAsia"/>
          <w:color w:val="000000"/>
          <w:sz w:val="32"/>
          <w:szCs w:val="32"/>
        </w:rPr>
        <w:t xml:space="preserve"> </w:t>
      </w:r>
      <w:r>
        <w:rPr>
          <w:rFonts w:ascii="黑体" w:eastAsia="黑体" w:hAnsi="黑体"/>
          <w:color w:val="000000"/>
          <w:sz w:val="32"/>
          <w:szCs w:val="32"/>
        </w:rPr>
        <w:t>附则</w:t>
      </w:r>
    </w:p>
    <w:p w:rsidR="009A6D02" w:rsidRDefault="009A6D02" w:rsidP="00981880">
      <w:pPr>
        <w:spacing w:line="54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第二十八条</w:t>
      </w:r>
      <w:r>
        <w:rPr>
          <w:rFonts w:ascii="仿宋_GB2312" w:eastAsia="仿宋_GB2312" w:hint="eastAsia"/>
          <w:color w:val="000000"/>
          <w:sz w:val="32"/>
          <w:szCs w:val="32"/>
        </w:rPr>
        <w:t xml:space="preserve">  关于革命遗址遗迹保护的有关具体事项，由市人民政府作出具体规定。</w:t>
      </w:r>
    </w:p>
    <w:p w:rsidR="009A6D02" w:rsidRDefault="009A6D02" w:rsidP="00981880">
      <w:pPr>
        <w:spacing w:line="540" w:lineRule="exact"/>
        <w:ind w:firstLineChars="200" w:firstLine="632"/>
        <w:rPr>
          <w:rFonts w:ascii="仿宋_GB2312" w:eastAsia="仿宋_GB2312"/>
          <w:color w:val="000000"/>
          <w:sz w:val="32"/>
          <w:szCs w:val="32"/>
        </w:rPr>
      </w:pPr>
      <w:r>
        <w:rPr>
          <w:rFonts w:ascii="黑体" w:eastAsia="黑体" w:hAnsi="黑体" w:hint="eastAsia"/>
          <w:color w:val="000000"/>
          <w:sz w:val="32"/>
          <w:szCs w:val="32"/>
        </w:rPr>
        <w:t>第二十九条</w:t>
      </w:r>
      <w:r>
        <w:rPr>
          <w:rFonts w:ascii="仿宋_GB2312" w:eastAsia="仿宋_GB2312" w:hint="eastAsia"/>
          <w:color w:val="000000"/>
          <w:sz w:val="32"/>
          <w:szCs w:val="32"/>
        </w:rPr>
        <w:t xml:space="preserve">   本条例自2018年2月1日起施行。</w:t>
      </w:r>
    </w:p>
    <w:p w:rsidR="00B41A72" w:rsidRPr="00981880" w:rsidRDefault="009A6D02" w:rsidP="00981880">
      <w:pPr>
        <w:spacing w:line="540" w:lineRule="exact"/>
        <w:ind w:firstLineChars="200" w:firstLine="632"/>
        <w:rPr>
          <w:rFonts w:ascii="仿宋_GB2312" w:eastAsia="仿宋_GB2312" w:hint="eastAsia"/>
          <w:color w:val="000000"/>
          <w:sz w:val="32"/>
          <w:szCs w:val="32"/>
        </w:rPr>
      </w:pPr>
      <w:r>
        <w:rPr>
          <w:rFonts w:ascii="仿宋_GB2312" w:eastAsia="仿宋_GB2312" w:hint="eastAsia"/>
          <w:color w:val="000000"/>
          <w:sz w:val="32"/>
          <w:szCs w:val="32"/>
        </w:rPr>
        <w:t xml:space="preserve"> </w:t>
      </w:r>
    </w:p>
    <w:sectPr w:rsidR="00B41A72" w:rsidRPr="00981880">
      <w:footerReference w:type="even" r:id="rId7"/>
      <w:footerReference w:type="default" r:id="rId8"/>
      <w:pgSz w:w="11906" w:h="16838"/>
      <w:pgMar w:top="2098" w:right="1474" w:bottom="1985" w:left="1588" w:header="851" w:footer="1701" w:gutter="0"/>
      <w:pgNumType w:start="4"/>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7D6" w:rsidRDefault="00FB27D6">
      <w:r>
        <w:separator/>
      </w:r>
    </w:p>
  </w:endnote>
  <w:endnote w:type="continuationSeparator" w:id="0">
    <w:p w:rsidR="00FB27D6" w:rsidRDefault="00FB2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7D4" w:rsidRPr="009A6D02" w:rsidRDefault="00B41A72" w:rsidP="009A6D02">
    <w:pPr>
      <w:pStyle w:val="a4"/>
      <w:ind w:leftChars="100" w:left="210"/>
      <w:rPr>
        <w:rFonts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981880" w:rsidRPr="00981880">
      <w:rPr>
        <w:rFonts w:ascii="宋体" w:hAnsi="宋体"/>
        <w:noProof/>
        <w:sz w:val="28"/>
        <w:szCs w:val="28"/>
        <w:lang w:val="zh-CN"/>
      </w:rPr>
      <w:t>4</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7D4" w:rsidRPr="009A6D02" w:rsidRDefault="00B41A72" w:rsidP="009A6D02">
    <w:pPr>
      <w:pStyle w:val="a4"/>
      <w:numPr>
        <w:ilvl w:val="0"/>
        <w:numId w:val="1"/>
      </w:numPr>
      <w:wordWrap w:val="0"/>
      <w:ind w:left="3737" w:rightChars="100" w:right="210" w:firstLine="0"/>
      <w:jc w:val="right"/>
      <w:rPr>
        <w:rFonts w:ascii="宋体" w:hAnsi="宋体"/>
        <w:sz w:val="28"/>
        <w:szCs w:val="28"/>
      </w:rPr>
    </w:pP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981880" w:rsidRPr="00981880">
      <w:rPr>
        <w:rFonts w:ascii="宋体" w:hAnsi="宋体"/>
        <w:noProof/>
        <w:sz w:val="28"/>
        <w:szCs w:val="28"/>
        <w:lang w:val="zh-CN"/>
      </w:rPr>
      <w:t>5</w:t>
    </w:r>
    <w:r>
      <w:rPr>
        <w:rFonts w:ascii="宋体" w:hAnsi="宋体"/>
        <w:sz w:val="28"/>
        <w:szCs w:val="28"/>
      </w:rPr>
      <w:fldChar w:fldCharType="end"/>
    </w:r>
    <w:r>
      <w:rPr>
        <w:rFonts w:ascii="宋体" w:hAnsi="宋体"/>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7D6" w:rsidRDefault="00FB27D6">
      <w:r>
        <w:separator/>
      </w:r>
    </w:p>
  </w:footnote>
  <w:footnote w:type="continuationSeparator" w:id="0">
    <w:p w:rsidR="00FB27D6" w:rsidRDefault="00FB2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014BE"/>
    <w:multiLevelType w:val="multilevel"/>
    <w:tmpl w:val="DE1090AC"/>
    <w:lvl w:ilvl="0">
      <w:start w:val="1"/>
      <w:numFmt w:val="chineseCounting"/>
      <w:suff w:val="space"/>
      <w:lvlText w:val="第%1章"/>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2FE0676"/>
    <w:multiLevelType w:val="multilevel"/>
    <w:tmpl w:val="62FE0676"/>
    <w:lvl w:ilvl="0">
      <w:numFmt w:val="bullet"/>
      <w:lvlText w:val="—"/>
      <w:lvlJc w:val="left"/>
      <w:pPr>
        <w:ind w:left="4095" w:hanging="360"/>
      </w:pPr>
      <w:rPr>
        <w:rFonts w:ascii="宋体" w:eastAsia="宋体" w:hAnsi="宋体" w:cs="Times New Roman" w:hint="eastAsia"/>
      </w:rPr>
    </w:lvl>
    <w:lvl w:ilvl="1">
      <w:start w:val="1"/>
      <w:numFmt w:val="bullet"/>
      <w:lvlText w:val=""/>
      <w:lvlJc w:val="left"/>
      <w:pPr>
        <w:ind w:left="4575" w:hanging="420"/>
      </w:pPr>
      <w:rPr>
        <w:rFonts w:ascii="Wingdings" w:hAnsi="Wingdings" w:hint="default"/>
      </w:rPr>
    </w:lvl>
    <w:lvl w:ilvl="2">
      <w:start w:val="1"/>
      <w:numFmt w:val="bullet"/>
      <w:lvlText w:val=""/>
      <w:lvlJc w:val="left"/>
      <w:pPr>
        <w:ind w:left="4995" w:hanging="420"/>
      </w:pPr>
      <w:rPr>
        <w:rFonts w:ascii="Wingdings" w:hAnsi="Wingdings" w:hint="default"/>
      </w:rPr>
    </w:lvl>
    <w:lvl w:ilvl="3">
      <w:start w:val="1"/>
      <w:numFmt w:val="bullet"/>
      <w:lvlText w:val=""/>
      <w:lvlJc w:val="left"/>
      <w:pPr>
        <w:ind w:left="5415" w:hanging="420"/>
      </w:pPr>
      <w:rPr>
        <w:rFonts w:ascii="Wingdings" w:hAnsi="Wingdings" w:hint="default"/>
      </w:rPr>
    </w:lvl>
    <w:lvl w:ilvl="4">
      <w:start w:val="1"/>
      <w:numFmt w:val="bullet"/>
      <w:lvlText w:val=""/>
      <w:lvlJc w:val="left"/>
      <w:pPr>
        <w:ind w:left="5835" w:hanging="420"/>
      </w:pPr>
      <w:rPr>
        <w:rFonts w:ascii="Wingdings" w:hAnsi="Wingdings" w:hint="default"/>
      </w:rPr>
    </w:lvl>
    <w:lvl w:ilvl="5">
      <w:start w:val="1"/>
      <w:numFmt w:val="bullet"/>
      <w:lvlText w:val=""/>
      <w:lvlJc w:val="left"/>
      <w:pPr>
        <w:ind w:left="6255" w:hanging="420"/>
      </w:pPr>
      <w:rPr>
        <w:rFonts w:ascii="Wingdings" w:hAnsi="Wingdings" w:hint="default"/>
      </w:rPr>
    </w:lvl>
    <w:lvl w:ilvl="6">
      <w:start w:val="1"/>
      <w:numFmt w:val="bullet"/>
      <w:lvlText w:val=""/>
      <w:lvlJc w:val="left"/>
      <w:pPr>
        <w:ind w:left="6675" w:hanging="420"/>
      </w:pPr>
      <w:rPr>
        <w:rFonts w:ascii="Wingdings" w:hAnsi="Wingdings" w:hint="default"/>
      </w:rPr>
    </w:lvl>
    <w:lvl w:ilvl="7">
      <w:start w:val="1"/>
      <w:numFmt w:val="bullet"/>
      <w:lvlText w:val=""/>
      <w:lvlJc w:val="left"/>
      <w:pPr>
        <w:ind w:left="7095" w:hanging="420"/>
      </w:pPr>
      <w:rPr>
        <w:rFonts w:ascii="Wingdings" w:hAnsi="Wingdings" w:hint="default"/>
      </w:rPr>
    </w:lvl>
    <w:lvl w:ilvl="8">
      <w:start w:val="1"/>
      <w:numFmt w:val="bullet"/>
      <w:lvlText w:val=""/>
      <w:lvlJc w:val="left"/>
      <w:pPr>
        <w:ind w:left="7515"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D02"/>
    <w:rsid w:val="00022E35"/>
    <w:rsid w:val="0006373D"/>
    <w:rsid w:val="00210E6D"/>
    <w:rsid w:val="00231EA5"/>
    <w:rsid w:val="002B3AB8"/>
    <w:rsid w:val="003C7C63"/>
    <w:rsid w:val="00432C4D"/>
    <w:rsid w:val="00445EAB"/>
    <w:rsid w:val="00580ECB"/>
    <w:rsid w:val="00660229"/>
    <w:rsid w:val="00674EFB"/>
    <w:rsid w:val="006906EF"/>
    <w:rsid w:val="00697F2A"/>
    <w:rsid w:val="006A527D"/>
    <w:rsid w:val="00753620"/>
    <w:rsid w:val="00793CDD"/>
    <w:rsid w:val="007E5484"/>
    <w:rsid w:val="00861AAE"/>
    <w:rsid w:val="00922A1F"/>
    <w:rsid w:val="00981880"/>
    <w:rsid w:val="009A6D02"/>
    <w:rsid w:val="009D3B33"/>
    <w:rsid w:val="00B41A72"/>
    <w:rsid w:val="00B72F44"/>
    <w:rsid w:val="00BB30FF"/>
    <w:rsid w:val="00CF4A69"/>
    <w:rsid w:val="00E032ED"/>
    <w:rsid w:val="00EB3E00"/>
    <w:rsid w:val="00FB27D6"/>
    <w:rsid w:val="00FC0599"/>
    <w:rsid w:val="00FE47D4"/>
    <w:rsid w:val="0775673A"/>
    <w:rsid w:val="13AA7738"/>
    <w:rsid w:val="1CA5077B"/>
    <w:rsid w:val="222541A6"/>
    <w:rsid w:val="320C2D45"/>
    <w:rsid w:val="6C80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541DC"/>
  <w15:chartTrackingRefBased/>
  <w15:docId w15:val="{B46E8B66-4AA4-462F-917E-E1A1BF20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6D02"/>
    <w:pPr>
      <w:widowControl w:val="0"/>
      <w:jc w:val="both"/>
    </w:pPr>
    <w:rPr>
      <w:rFonts w:ascii="Calibri" w:hAnsi="Calibri" w:cs="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18"/>
    </w:rPr>
  </w:style>
  <w:style w:type="character" w:customStyle="1" w:styleId="a5">
    <w:name w:val="页眉 字符"/>
    <w:link w:val="a6"/>
    <w:rPr>
      <w:kern w:val="2"/>
      <w:sz w:val="18"/>
      <w:szCs w:val="18"/>
    </w:rPr>
  </w:style>
  <w:style w:type="character" w:customStyle="1" w:styleId="a7">
    <w:name w:val="批注框文本 字符"/>
    <w:link w:val="a8"/>
    <w:rPr>
      <w:rFonts w:eastAsia="仿宋_GB2312"/>
      <w:kern w:val="2"/>
      <w:sz w:val="18"/>
      <w:szCs w:val="18"/>
    </w:rPr>
  </w:style>
  <w:style w:type="paragraph" w:styleId="a8">
    <w:name w:val="Balloon Text"/>
    <w:basedOn w:val="a"/>
    <w:link w:val="a7"/>
    <w:rPr>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rPr>
  </w:style>
  <w:style w:type="paragraph" w:styleId="a4">
    <w:name w:val="footer"/>
    <w:basedOn w:val="a"/>
    <w:link w:val="a3"/>
    <w:uiPriority w:val="99"/>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75429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8472;&#31435;&#24179;\1.&#21521;&#20840;&#22269;&#20154;&#22823;&#12289;&#22269;&#21153;&#38498;&#25253;&#22791;&#24037;&#20316;\&#27861;&#35268;&#19978;&#25253;&#22791;&#26696;&#30005;&#23376;&#29256;\&#27169;&#26495;&#8212;&#27861;&#35268;&#30005;&#23376;&#25991;&#26412;&#25253;&#22791;\&#27491;&#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正文</Template>
  <TotalTime>10</TotalTime>
  <Pages>8</Pages>
  <Words>523</Words>
  <Characters>2986</Characters>
  <Application>Microsoft Office Word</Application>
  <DocSecurity>0</DocSecurity>
  <PresentationFormat/>
  <Lines>24</Lines>
  <Paragraphs>7</Paragraphs>
  <Slides>0</Slides>
  <Notes>0</Notes>
  <HiddenSlides>0</HiddenSlides>
  <MMClips>0</MMClips>
  <ScaleCrop>false</ScaleCrop>
  <Manager/>
  <Company>Microsoft</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匿名用户</dc:creator>
  <cp:keywords/>
  <dc:description/>
  <cp:lastModifiedBy>Byron Jack</cp:lastModifiedBy>
  <cp:revision>2</cp:revision>
  <cp:lastPrinted>2017-10-27T03:07:00Z</cp:lastPrinted>
  <dcterms:created xsi:type="dcterms:W3CDTF">2017-12-28T07:53:00Z</dcterms:created>
  <dcterms:modified xsi:type="dcterms:W3CDTF">2017-12-29T02:35:00Z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