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张家界市农村村民住房规划建设管理规定</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(2020年9月3日张家界市第七届人民代表大会常务委员会第二十九次会议通过  2020年9月25日湖南省第十三届人民代表大会常务委员会第二十次会议批准)</w:t>
      </w:r>
    </w:p>
    <w:p>
      <w:pPr>
        <w:spacing w:line="600" w:lineRule="exact"/>
        <w:jc w:val="center"/>
        <w:rPr>
          <w:rFonts w:hint="eastAsia" w:ascii="宋体" w:hAnsi="宋体" w:eastAsia="宋体" w:cs="宋体"/>
          <w:b/>
          <w:bCs/>
          <w:color w:val="000000" w:themeColor="text1"/>
          <w:sz w:val="36"/>
          <w:szCs w:val="36"/>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为了加强农村村民住房规划建设管理，节约利用土地，改善农村人居环境，根据《中华人民共和国土地管理法》《中华人民共和国城乡规划法》等有关法律法规的规定，结合本市实际，制定本规定。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本市行政区域内，城镇开发边界以外，集体所有土地上农村村民新建、重建、改建、扩建住房的规划建设等活动，适用本规定。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农村村民住房规划建设应当遵循保护耕地、规划管控、风貌协调、高效便民的原则。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市、县（区）人民政府组织领导本行政区域内的农村村民住房规划建设管理工作,对农村村民住房规划建设管理的机构设置、人员配备予以保障，将村庄规划和示范图集编制、建筑风格奖励和补助、执法管理等经费纳入财政预算</w:t>
      </w:r>
      <w:r>
        <w:rPr>
          <w:rStyle w:val="11"/>
          <w:rFonts w:hint="eastAsia" w:ascii="仿宋_GB2312" w:hAnsi="仿宋_GB2312" w:eastAsia="仿宋_GB2312" w:cs="仿宋_GB2312"/>
          <w:b w:val="0"/>
          <w:bCs w:val="0"/>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农业农村、</w:t>
      </w:r>
      <w:r>
        <w:rPr>
          <w:rFonts w:hint="eastAsia" w:ascii="仿宋_GB2312" w:hAnsi="仿宋_GB2312" w:eastAsia="仿宋_GB2312" w:cs="仿宋_GB2312"/>
          <w:b w:val="0"/>
          <w:bCs w:val="0"/>
          <w:color w:val="000000" w:themeColor="text1"/>
          <w:sz w:val="32"/>
          <w:szCs w:val="32"/>
          <w14:textFill>
            <w14:solidFill>
              <w14:schemeClr w14:val="tx1"/>
            </w14:solidFill>
          </w14:textFill>
        </w:rPr>
        <w:t>自然资源和规划、</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住房和城乡建设、财政、交通运输、水利、生态环境、文化旅游、林业等主管部门按照各自职能职责，做好农村村民住房规划建设管理的相关工作</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乡（镇）人民政府是农村村民住房</w:t>
      </w:r>
      <w:r>
        <w:rPr>
          <w:rFonts w:hint="eastAsia" w:ascii="仿宋_GB2312" w:hAnsi="仿宋_GB2312" w:eastAsia="仿宋_GB2312" w:cs="仿宋_GB2312"/>
          <w:b w:val="0"/>
          <w:bCs w:val="0"/>
          <w:color w:val="000000" w:themeColor="text1"/>
          <w:sz w:val="32"/>
          <w:szCs w:val="32"/>
          <w14:textFill>
            <w14:solidFill>
              <w14:schemeClr w14:val="tx1"/>
            </w14:solidFill>
          </w14:textFill>
        </w:rPr>
        <w:t>规划</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建设管理的实施主体，</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根据法律、法规授权以及县（区）人民政府有关主管部门的委托，</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负责组织编制、实施村庄规划，</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开展农村村民住房规划建设管理工作。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村民委员会协助乡（镇）人民政府做好农村村民住房规划建设的审查、批准和监督管理等工作，制定村规民约促进本村村民规范住房规划建设行为。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农村村民建设住房</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应当充分利用原有宅基地、空闲地、荒山、荒坡和其他未利用地,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禁止占用永久基本农田,不占或少占耕地。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对于建在成片耕地区域内的零星分散房屋，乡（镇）人民政府经批准后可以组织村集体经济组织实施土地整理建设，促进耕地保护和土地节约利用。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经依法批准占用永久基本农田以外耕地的，应当按照有关规定通过开垦荒地或复垦宅基地等措施落实耕地占补平衡。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对于主动拆除废弃房屋复垦并耕种的新增加耕地的农户，县（区）人民政府应当按新增加耕地面积给予奖励补助。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编制村庄规划应当以国土空间总体规划为依据，与永久基本农田保护、全域旅游、生态保护、乡村振兴等规划相衔接，突出实用性，体现乡村特色，注重保护和传承传统文化。规划成果内容应当通俗易懂、简便易行，利于村民认知、接受和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bookmarkStart w:id="0" w:name="_GoBack"/>
      <w:bookmarkEnd w:id="0"/>
      <w:r>
        <w:rPr>
          <w:rFonts w:hint="eastAsia" w:ascii="仿宋_GB2312" w:hAnsi="仿宋_GB2312" w:eastAsia="仿宋_GB2312" w:cs="仿宋_GB2312"/>
          <w:b w:val="0"/>
          <w:bCs w:val="0"/>
          <w:color w:val="000000" w:themeColor="text1"/>
          <w:sz w:val="32"/>
          <w:szCs w:val="32"/>
          <w14:textFill>
            <w14:solidFill>
              <w14:schemeClr w14:val="tx1"/>
            </w14:solidFill>
          </w14:textFill>
        </w:rPr>
        <w:t>编制的村庄规划经该村庄的村民会议或者村民代表会议讨论同意并公示后，提请乡（镇）人民代表大会审议，并报县（区）人民政府批准后公布实施。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乡（镇）人民政府应当在本规定施行后一年内完成村庄规划编制工作。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住房和城乡建设主管部门应当会同自然资源和规划、农业农村等部门联合编制、修订农村村民住房建筑设计示范图集。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编制的农村村民住房建筑设计示范图集应当充分听取村民意见，尊重村民意愿，征求所在村和乡（镇）的意见。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纳入农村村民住房建筑设计示范图集的农村村民住房建筑设计图应当符合村庄规划确定的建筑风格，</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满足不同经济水平村民需求</w:t>
      </w:r>
      <w:r>
        <w:rPr>
          <w:rFonts w:hint="eastAsia" w:ascii="仿宋_GB2312" w:hAnsi="仿宋_GB2312" w:eastAsia="仿宋_GB2312" w:cs="仿宋_GB2312"/>
          <w:b w:val="0"/>
          <w:bCs w:val="0"/>
          <w:color w:val="000000" w:themeColor="text1"/>
          <w:sz w:val="32"/>
          <w:szCs w:val="32"/>
          <w14:textFill>
            <w14:solidFill>
              <w14:schemeClr w14:val="tx1"/>
            </w14:solidFill>
          </w14:textFill>
        </w:rPr>
        <w:t>和公众的审美要求，与周边环境相协调，</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合理安排生活污水处理设施，推广使用新材料、新技术、新工艺，并</w:t>
      </w:r>
      <w:r>
        <w:rPr>
          <w:rFonts w:hint="eastAsia" w:ascii="仿宋_GB2312" w:hAnsi="仿宋_GB2312" w:eastAsia="仿宋_GB2312" w:cs="仿宋_GB2312"/>
          <w:b w:val="0"/>
          <w:bCs w:val="0"/>
          <w:color w:val="000000" w:themeColor="text1"/>
          <w:sz w:val="32"/>
          <w:szCs w:val="32"/>
          <w14:textFill>
            <w14:solidFill>
              <w14:schemeClr w14:val="tx1"/>
            </w14:solidFill>
          </w14:textFill>
        </w:rPr>
        <w:t>根据当地实际情况及时更新。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住房和城乡建设主管部门应当无偿提供</w:t>
      </w:r>
      <w:r>
        <w:rPr>
          <w:rFonts w:hint="eastAsia" w:ascii="仿宋_GB2312" w:hAnsi="仿宋_GB2312" w:eastAsia="仿宋_GB2312" w:cs="仿宋_GB2312"/>
          <w:b w:val="0"/>
          <w:bCs w:val="0"/>
          <w:color w:val="000000" w:themeColor="text1"/>
          <w:sz w:val="32"/>
          <w:szCs w:val="32"/>
          <w14:textFill>
            <w14:solidFill>
              <w14:schemeClr w14:val="tx1"/>
            </w14:solidFill>
          </w14:textFill>
        </w:rPr>
        <w:t>农村村民住房建筑设计示范图集，并对农村建筑施工人员提供技术指导和免费培训。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第九条</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符合下列情形之一的，农村村民可以以户为单位申请住房建设：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（一）无自有农村住房的；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w:t>
      </w:r>
      <w:r>
        <w:rPr>
          <w:rFonts w:hint="eastAsia" w:ascii="仿宋_GB2312" w:hAnsi="仿宋_GB2312" w:eastAsia="仿宋_GB2312" w:cs="仿宋_GB2312"/>
          <w:b w:val="0"/>
          <w:bCs w:val="0"/>
          <w:color w:val="000000" w:themeColor="text1"/>
          <w:sz w:val="32"/>
          <w:szCs w:val="32"/>
          <w:shd w:val="clear" w:color="auto" w:fill="FFFFFF"/>
          <w14:textFill>
            <w14:solidFill>
              <w14:schemeClr w14:val="tx1"/>
            </w14:solidFill>
          </w14:textFill>
        </w:rPr>
        <w:t>原有住房因灾毁损需要重建的；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（三）具备分户条件，确需另立户修建住房的；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（四）住房因国家建设项目征收或政策性搬迁的；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（五）退出原有宅基地向农村村（组）集中建房点建房的；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（六）因改善居住条件等原因需要拆旧建新的；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（七）其他可以申请住房建设的情形。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农村村民申请住房建设，应当持下列材料向村民委员会提出申请：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（一）住房建设审批表;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（二）农村宅基地使用承诺书；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（三）住房建设工程设计方案或者住房和城乡建设主管部门免费提供的住房建筑设计图；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（四）申请人身份证和户口薄。</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前款第一项、第二项的格式文书，由申请人到村民委员会免费领取。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农村村民一户只能拥有一处宅基地。建房户易地新建住房的，应当在新房竣工或者入住后及时拆除原有住房。</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农村村民建房选择宅基地应当符合村庄规划要求，合理避让地质灾害隐患区、地下采空区、山洪灾害危险区等不宜建房的区域，确因选址困难需切坡的，应当在乡(镇)人民政府指导下，按照有关技术规范做好坡体防护，确保建房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pacing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pacing w:val="0"/>
          <w:sz w:val="32"/>
          <w:szCs w:val="32"/>
          <w14:textFill>
            <w14:solidFill>
              <w14:schemeClr w14:val="tx1"/>
            </w14:solidFill>
          </w14:textFill>
        </w:rPr>
        <w:t>农村村民建设住房用地面积使用耕地不超过一百三十平方米、使用荒山荒地不超过二百一十平方米、使用其他土地不超过一百八十平方米。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提倡同一居住区域的农村村民依据村规民约选择</w:t>
      </w:r>
      <w:r>
        <w:rPr>
          <w:rStyle w:val="6"/>
          <w:rFonts w:hint="eastAsia" w:ascii="仿宋_GB2312" w:hAnsi="仿宋_GB2312" w:eastAsia="仿宋_GB2312" w:cs="仿宋_GB2312"/>
          <w:b w:val="0"/>
          <w:bCs w:val="0"/>
          <w:color w:val="000000" w:themeColor="text1"/>
          <w:sz w:val="32"/>
          <w:szCs w:val="32"/>
          <w14:textFill>
            <w14:solidFill>
              <w14:schemeClr w14:val="tx1"/>
            </w14:solidFill>
          </w14:textFill>
        </w:rPr>
        <w:t>住房和城乡建设主管</w:t>
      </w:r>
      <w:r>
        <w:rPr>
          <w:rFonts w:hint="eastAsia" w:ascii="仿宋_GB2312" w:hAnsi="仿宋_GB2312" w:eastAsia="仿宋_GB2312" w:cs="仿宋_GB2312"/>
          <w:b w:val="0"/>
          <w:bCs w:val="0"/>
          <w:color w:val="000000" w:themeColor="text1"/>
          <w:sz w:val="32"/>
          <w:szCs w:val="32"/>
          <w14:textFill>
            <w14:solidFill>
              <w14:schemeClr w14:val="tx1"/>
            </w14:solidFill>
          </w14:textFill>
        </w:rPr>
        <w:t>部门推荐的住宅设计图，在样式、体量、色彩、高度上相对统一。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在特色景观旅游名村、高速公路沿线、景区公路沿线、重要交通节点等地进行住房建设的，要体现民族、区域、文化、民居传统和自然风貌等特色，形成统一或相近建筑风格。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在历史文化名村、传统村落、少数民族特色村寨等</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完整体现历史风貌和建筑特色、有一定保护价值的村庄，应当保护原有建筑，新建建筑应当与原有建筑风格相一致。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县（区）、乡（镇）人民政府应当通过政府网站、政务大厅、村级服务平台等，公开农村村民住房建设的申请条件、申请资料目录、申请受理机关、审批机关、审批权限、审批程序、审批时限以及农村建房年度用地计划等，并定期公布审批情况。</w:t>
      </w:r>
    </w:p>
    <w:p>
      <w:pPr>
        <w:keepNext w:val="0"/>
        <w:keepLines w:val="0"/>
        <w:pageBreakBefore w:val="0"/>
        <w:widowControl w:val="0"/>
        <w:kinsoku/>
        <w:wordWrap/>
        <w:overflowPunct/>
        <w:topLinePunct w:val="0"/>
        <w:autoSpaceDE/>
        <w:autoSpaceDN/>
        <w:bidi w:val="0"/>
        <w:adjustRightInd/>
        <w:snapToGrid/>
        <w:spacing w:line="240" w:lineRule="auto"/>
        <w:ind w:firstLine="612" w:firstLineChars="200"/>
        <w:jc w:val="both"/>
        <w:textAlignment w:val="auto"/>
        <w:outlineLvl w:val="9"/>
        <w:rPr>
          <w:rFonts w:hint="eastAsia" w:ascii="仿宋_GB2312" w:hAnsi="仿宋_GB2312" w:eastAsia="仿宋_GB2312" w:cs="仿宋_GB2312"/>
          <w:b w:val="0"/>
          <w:bCs w:val="0"/>
          <w:color w:val="000000" w:themeColor="text1"/>
          <w:spacing w:val="-5"/>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pacing w:val="-5"/>
          <w:kern w:val="0"/>
          <w:sz w:val="32"/>
          <w:szCs w:val="32"/>
          <w14:textFill>
            <w14:solidFill>
              <w14:schemeClr w14:val="tx1"/>
            </w14:solidFill>
          </w14:textFill>
        </w:rPr>
        <w:t>村民委员会应当协助乡（镇）人民政府在本辖区公布前款事项。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农村</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村民申请自建住房，应当先向村民委员会提出申请，经村民委员会讨论通过后，报乡（镇）人民政府审批，符合批准条件的，由</w:t>
      </w:r>
      <w:r>
        <w:rPr>
          <w:rFonts w:hint="eastAsia" w:ascii="仿宋_GB2312" w:hAnsi="仿宋_GB2312" w:eastAsia="仿宋_GB2312" w:cs="仿宋_GB2312"/>
          <w:b w:val="0"/>
          <w:bCs w:val="0"/>
          <w:color w:val="000000" w:themeColor="text1"/>
          <w:sz w:val="32"/>
          <w:szCs w:val="32"/>
          <w14:textFill>
            <w14:solidFill>
              <w14:schemeClr w14:val="tx1"/>
            </w14:solidFill>
          </w14:textFill>
        </w:rPr>
        <w:t>乡(镇)</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人民政府五个工作日内依法发放许可手续。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乡(镇)人民政府在办理农村村民建房许可手续时，应当在正文及其附图、附件上明确建房户、建房位置、用地面积、建筑面积、建筑高度、四至范围、建筑朝向、建筑风格等要求。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Style w:val="6"/>
          <w:rFonts w:hint="eastAsia" w:ascii="仿宋_GB2312" w:hAnsi="仿宋_GB2312" w:eastAsia="仿宋_GB2312" w:cs="仿宋_GB2312"/>
          <w:b w:val="0"/>
          <w:bCs w:val="0"/>
          <w:color w:val="000000" w:themeColor="text1"/>
          <w:sz w:val="32"/>
          <w:szCs w:val="32"/>
          <w14:textFill>
            <w14:solidFill>
              <w14:schemeClr w14:val="tx1"/>
            </w14:solidFill>
          </w14:textFill>
        </w:rPr>
        <w:t>建设布局和土地利用不合理、房屋建筑不规范、基础和公共设施不完善的村庄，应当按照村庄规划逐步进行改建、改造，达到规划的要求。</w:t>
      </w:r>
      <w:r>
        <w:rPr>
          <w:rFonts w:hint="eastAsia" w:ascii="仿宋_GB2312" w:hAnsi="仿宋_GB2312" w:eastAsia="仿宋_GB2312" w:cs="仿宋_GB2312"/>
          <w:b w:val="0"/>
          <w:bCs w:val="0"/>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乡（镇）人民政府可以根据实际情况，在编制村庄规划时，设置农村村（组）住房集中建设点。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农村村民选择集中建房点建设住房的，</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村（组）集体经济组织应当为其协调置换宅基地。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因置换土地造成被置换土地利害关系人合法权益损失的，应当给予合理补偿。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乡（镇）人民政府应当建立农村村民住房规划建设动态巡查制度，及时发现和查处违法行为。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kern w:val="0"/>
          <w:sz w:val="32"/>
          <w:szCs w:val="32"/>
          <w14:textFill>
            <w14:solidFill>
              <w14:schemeClr w14:val="tx1"/>
            </w14:solidFill>
          </w14:textFill>
        </w:rPr>
      </w:pPr>
      <w:r>
        <w:rPr>
          <w:rFonts w:hint="eastAsia" w:ascii="仿宋_GB2312" w:hAnsi="仿宋_GB2312" w:eastAsia="仿宋_GB2312" w:cs="仿宋_GB2312"/>
          <w:b w:val="0"/>
          <w:bCs w:val="0"/>
          <w:color w:val="000000" w:themeColor="text1"/>
          <w:kern w:val="0"/>
          <w:sz w:val="32"/>
          <w:szCs w:val="32"/>
          <w14:textFill>
            <w14:solidFill>
              <w14:schemeClr w14:val="tx1"/>
            </w14:solidFill>
          </w14:textFill>
        </w:rPr>
        <w:t>村民委员会应当协助乡镇人民政府加强日常巡查，发现违法建设房屋的，应当立即劝阻，并于二十四小时内向乡（镇）人民政府报告。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违反本规定，有下列情形之一的，对主要责任人和直接责任人给予处分；构成犯罪的，依法追究刑事责任：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（一）未依法处理违法占用永久基本农田等行为的；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（二）未依法编制或者未按照法定程序编制、审批、修改村庄规划的；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（三）未依法办理许可手续的；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（四）对</w:t>
      </w:r>
      <w:r>
        <w:rPr>
          <w:rFonts w:hint="eastAsia" w:ascii="仿宋_GB2312" w:hAnsi="仿宋_GB2312" w:eastAsia="仿宋_GB2312" w:cs="仿宋_GB2312"/>
          <w:b w:val="0"/>
          <w:bCs w:val="0"/>
          <w:color w:val="000000" w:themeColor="text1"/>
          <w:spacing w:val="-9"/>
          <w:sz w:val="32"/>
          <w:szCs w:val="32"/>
          <w14:textFill>
            <w14:solidFill>
              <w14:schemeClr w14:val="tx1"/>
            </w14:solidFill>
          </w14:textFill>
        </w:rPr>
        <w:t>村民住房建设违法行为巡查不到位、制止查处不力的；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（五）有其他玩忽职守、滥用职权、徇私舞弊等行为的。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农村村民建设住房有未经批准、超出批准范围或者采取欺骗手段骗取批准等行为的，依照《中华人民共和国土地管理法》《中华人民共和国城乡规划法》等法律法规进行处理。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违反本规定的其他行为，法律法规已有规定的，从其规定。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街道办事处等管理机构辖区范围内的农村村民住房的规划建设管理，参照本规定执行。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本规定自2021年1月1日起施行。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712" w:firstLineChars="200"/>
        <w:jc w:val="both"/>
        <w:textAlignment w:val="auto"/>
        <w:rPr>
          <w:rFonts w:ascii="仿宋_GB2312" w:hAnsi="仿宋_GB2312" w:cs="仿宋_GB2312"/>
          <w:b/>
          <w:bCs/>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712" w:firstLineChars="200"/>
        <w:jc w:val="both"/>
        <w:textAlignment w:val="auto"/>
        <w:rPr>
          <w:rFonts w:ascii="仿宋_GB2312" w:hAnsi="仿宋_GB2312" w:cs="仿宋_GB2312"/>
          <w:b/>
          <w:bCs/>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b/>
          <w:bCs/>
          <w:color w:val="000000" w:themeColor="text1"/>
          <w:sz w:val="36"/>
          <w:szCs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rPr>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D2F982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FollowedHyperlink"/>
    <w:semiHidden/>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character" w:customStyle="1" w:styleId="11">
    <w:name w:val="bjh-p"/>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2020-10-26T10:09:35Z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