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80" w:lineRule="atLeast"/>
        <w:rPr>
          <w:rFonts w:ascii="宋体"/>
          <w:color w:val="000000"/>
          <w:sz w:val="32"/>
          <w:szCs w:val="32"/>
        </w:rPr>
      </w:pPr>
    </w:p>
    <w:p>
      <w:pPr>
        <w:adjustRightInd w:val="0"/>
        <w:snapToGrid w:val="0"/>
        <w:spacing w:line="580" w:lineRule="atLeast"/>
        <w:rPr>
          <w:rFonts w:ascii="宋体"/>
          <w:color w:val="000000"/>
          <w:sz w:val="32"/>
          <w:szCs w:val="32"/>
        </w:rPr>
      </w:pPr>
    </w:p>
    <w:p>
      <w:pPr>
        <w:tabs>
          <w:tab w:val="center" w:pos="4153"/>
          <w:tab w:val="right" w:pos="8306"/>
        </w:tabs>
        <w:spacing w:line="580" w:lineRule="exact"/>
        <w:jc w:val="center"/>
        <w:rPr>
          <w:rFonts w:ascii="宋体" w:hAnsi="宋体"/>
          <w:b/>
          <w:bCs/>
          <w:color w:val="000000"/>
          <w:sz w:val="44"/>
          <w:szCs w:val="44"/>
        </w:rPr>
      </w:pPr>
      <w:r>
        <w:rPr>
          <w:rFonts w:hint="eastAsia" w:ascii="宋体" w:hAnsi="宋体"/>
          <w:b/>
          <w:bCs/>
          <w:color w:val="000000"/>
          <w:sz w:val="44"/>
          <w:szCs w:val="44"/>
        </w:rPr>
        <w:t>张家界市城镇绿化条例</w:t>
      </w:r>
    </w:p>
    <w:p>
      <w:pPr>
        <w:tabs>
          <w:tab w:val="center" w:pos="4153"/>
          <w:tab w:val="right" w:pos="8306"/>
        </w:tabs>
        <w:spacing w:line="580" w:lineRule="exact"/>
        <w:jc w:val="center"/>
        <w:rPr>
          <w:rFonts w:ascii="仿宋" w:hAnsi="仿宋" w:eastAsia="仿宋"/>
          <w:b/>
          <w:bCs/>
          <w:color w:val="000000"/>
          <w:sz w:val="32"/>
          <w:szCs w:val="32"/>
        </w:rPr>
      </w:pPr>
    </w:p>
    <w:p>
      <w:pPr>
        <w:adjustRightInd w:val="0"/>
        <w:snapToGrid w:val="0"/>
        <w:spacing w:line="580" w:lineRule="atLeast"/>
        <w:ind w:firstLine="640" w:firstLineChars="200"/>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（2016年10月27日张家界市第六届人民代表大会常务委员会第三十次会议通过</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2016年12月2日湖南省第十二届人民代表大会常务委员会第二十六次会议批准）</w:t>
      </w:r>
    </w:p>
    <w:p>
      <w:pPr>
        <w:adjustRightInd w:val="0"/>
        <w:snapToGrid w:val="0"/>
        <w:spacing w:line="580" w:lineRule="atLeast"/>
        <w:jc w:val="center"/>
        <w:rPr>
          <w:rFonts w:hint="eastAsia" w:ascii="仿宋_GB2312" w:hAnsi="仿宋_GB2312" w:eastAsia="仿宋_GB2312" w:cs="仿宋_GB2312"/>
          <w:color w:val="000000"/>
          <w:sz w:val="32"/>
          <w:szCs w:val="32"/>
        </w:rPr>
      </w:pPr>
    </w:p>
    <w:p>
      <w:pPr>
        <w:adjustRightInd w:val="0"/>
        <w:snapToGrid w:val="0"/>
        <w:spacing w:line="580" w:lineRule="atLeast"/>
        <w:ind w:firstLine="755" w:firstLineChars="236"/>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为了加强生态文明建设，发展城镇绿化事业，建设绿色宜居宜游张家界，根据国务院《城市绿化条例》及相关法律法规，结合本市实际，制定本条例。</w:t>
      </w:r>
    </w:p>
    <w:p>
      <w:pPr>
        <w:adjustRightInd w:val="0"/>
        <w:snapToGrid w:val="0"/>
        <w:spacing w:line="580" w:lineRule="atLeast"/>
        <w:ind w:firstLine="755" w:firstLineChars="236"/>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本条例适用于本市城市、镇规划区建设用地范围内以及市、区县人民政府确定的用于城镇绿化区域内的绿化规划、建设、保护和管理。</w:t>
      </w:r>
    </w:p>
    <w:p>
      <w:pPr>
        <w:adjustRightInd w:val="0"/>
        <w:snapToGrid w:val="0"/>
        <w:spacing w:line="580" w:lineRule="atLeast"/>
        <w:ind w:firstLine="755" w:firstLineChars="236"/>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市、区县人民政府统一领导本行政区域内的城镇绿化工作，将城镇绿化建设纳入国民经济和社会发展规划，制定年度建设计划，确定城镇绿化目标，实行绿化目标责任制，将城镇公共绿化经费列入财政预算。</w:t>
      </w:r>
    </w:p>
    <w:p>
      <w:pPr>
        <w:pStyle w:val="6"/>
        <w:shd w:val="clear" w:color="auto" w:fill="FFFFFF"/>
        <w:adjustRightInd w:val="0"/>
        <w:snapToGrid w:val="0"/>
        <w:spacing w:before="0" w:beforeAutospacing="0" w:after="0" w:afterAutospacing="0" w:line="580" w:lineRule="atLeast"/>
        <w:ind w:firstLine="640" w:firstLineChars="200"/>
        <w:textAlignment w:val="baseline"/>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城镇绿化主管部门主管本行政区域内的城镇绿化工作。住建、林业、水利、城乡规划、国土资源等主管部门应当按照职责分工，做好城镇绿化工作。</w:t>
      </w:r>
    </w:p>
    <w:p>
      <w:pPr>
        <w:pStyle w:val="6"/>
        <w:shd w:val="clear" w:color="auto" w:fill="FFFFFF"/>
        <w:adjustRightInd w:val="0"/>
        <w:snapToGrid w:val="0"/>
        <w:spacing w:before="0" w:beforeAutospacing="0" w:after="0" w:afterAutospacing="0" w:line="580" w:lineRule="atLeast"/>
        <w:ind w:firstLine="640" w:firstLineChars="200"/>
        <w:textAlignment w:val="baseline"/>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镇人民政府负责本行政区域内的城镇绿化工作，街道办事处依据职责做好本行政区域内的绿化工作。</w:t>
      </w:r>
    </w:p>
    <w:p>
      <w:pPr>
        <w:adjustRightInd w:val="0"/>
        <w:snapToGrid w:val="0"/>
        <w:spacing w:line="580" w:lineRule="atLeast"/>
        <w:ind w:firstLine="600"/>
        <w:rPr>
          <w:rFonts w:hint="eastAsia" w:ascii="仿宋_GB2312" w:hAnsi="仿宋_GB2312" w:eastAsia="仿宋_GB2312" w:cs="仿宋_GB2312"/>
          <w:color w:val="000000"/>
          <w:spacing w:val="-12"/>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shd w:val="clear" w:color="auto" w:fill="FFFFFF"/>
        </w:rPr>
        <w:t xml:space="preserve"> </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pacing w:val="-12"/>
          <w:sz w:val="32"/>
          <w:szCs w:val="32"/>
        </w:rPr>
        <w:t>鼓励单位和个人以投资、捐资、认养等形式，参与绿化建设和养护。投资、捐资、认养的单位或者个人可以依照有关规定享有绿地、树木一定期限的冠名权。</w:t>
      </w:r>
    </w:p>
    <w:p>
      <w:pPr>
        <w:adjustRightInd w:val="0"/>
        <w:snapToGrid w:val="0"/>
        <w:spacing w:line="580" w:lineRule="atLeast"/>
        <w:ind w:firstLine="600"/>
        <w:rPr>
          <w:rFonts w:hint="eastAsia" w:ascii="仿宋_GB2312" w:hAnsi="仿宋_GB2312" w:eastAsia="仿宋_GB2312" w:cs="仿宋_GB2312"/>
          <w:color w:val="000000"/>
          <w:spacing w:val="-12"/>
          <w:sz w:val="32"/>
          <w:szCs w:val="32"/>
        </w:rPr>
      </w:pPr>
      <w:r>
        <w:rPr>
          <w:rFonts w:hint="eastAsia" w:ascii="仿宋_GB2312" w:hAnsi="仿宋_GB2312" w:eastAsia="仿宋_GB2312" w:cs="仿宋_GB2312"/>
          <w:color w:val="000000"/>
          <w:spacing w:val="-12"/>
          <w:sz w:val="32"/>
          <w:szCs w:val="32"/>
        </w:rPr>
        <w:t>鼓励、引导社会组织、志愿者和市民参与城镇绿化保护活动，开展城镇绿化服务工作。</w:t>
      </w:r>
    </w:p>
    <w:p>
      <w:pPr>
        <w:adjustRightInd w:val="0"/>
        <w:snapToGrid w:val="0"/>
        <w:spacing w:line="580" w:lineRule="atLeast"/>
        <w:ind w:firstLine="600"/>
        <w:rPr>
          <w:rFonts w:hint="eastAsia" w:ascii="仿宋_GB2312" w:hAnsi="仿宋_GB2312" w:eastAsia="仿宋_GB2312" w:cs="仿宋_GB2312"/>
          <w:color w:val="000000"/>
          <w:spacing w:val="-12"/>
          <w:sz w:val="32"/>
          <w:szCs w:val="32"/>
        </w:rPr>
      </w:pPr>
      <w:r>
        <w:rPr>
          <w:rFonts w:hint="eastAsia" w:ascii="仿宋_GB2312" w:hAnsi="仿宋_GB2312" w:eastAsia="仿宋_GB2312" w:cs="仿宋_GB2312"/>
          <w:color w:val="000000"/>
          <w:spacing w:val="-12"/>
          <w:sz w:val="32"/>
          <w:szCs w:val="32"/>
        </w:rPr>
        <w:t>对在城镇绿化工作中成绩显著的单位和个人，各级人民政府应当给予奖励。</w:t>
      </w:r>
    </w:p>
    <w:p>
      <w:pPr>
        <w:adjustRightInd w:val="0"/>
        <w:snapToGrid w:val="0"/>
        <w:spacing w:line="580" w:lineRule="atLeast"/>
        <w:ind w:firstLine="6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鼓励单位和个人充分利用阳台、窗台、庭院等空间开展立体绿化。</w:t>
      </w:r>
    </w:p>
    <w:p>
      <w:pPr>
        <w:adjustRightInd w:val="0"/>
        <w:snapToGrid w:val="0"/>
        <w:spacing w:line="580" w:lineRule="atLeast"/>
        <w:ind w:firstLine="600"/>
        <w:rPr>
          <w:rFonts w:hint="eastAsia" w:ascii="仿宋_GB2312" w:hAnsi="仿宋_GB2312" w:eastAsia="仿宋_GB2312" w:cs="仿宋_GB2312"/>
          <w:color w:val="000000"/>
          <w:spacing w:val="-12"/>
          <w:sz w:val="32"/>
          <w:szCs w:val="32"/>
        </w:rPr>
      </w:pPr>
      <w:r>
        <w:rPr>
          <w:rFonts w:hint="eastAsia" w:ascii="仿宋_GB2312" w:hAnsi="仿宋_GB2312" w:eastAsia="仿宋_GB2312" w:cs="仿宋_GB2312"/>
          <w:color w:val="000000"/>
          <w:sz w:val="32"/>
          <w:szCs w:val="32"/>
        </w:rPr>
        <w:t>鼓励适宜立体绿化的工业建筑、居住建筑、公共建筑等建（构）筑物，实施多种形式的立体绿化。</w:t>
      </w:r>
    </w:p>
    <w:p>
      <w:pPr>
        <w:widowControl/>
        <w:shd w:val="clear" w:color="auto" w:fill="FFFFFF"/>
        <w:adjustRightInd w:val="0"/>
        <w:snapToGrid w:val="0"/>
        <w:spacing w:line="580" w:lineRule="atLeast"/>
        <w:ind w:firstLine="592" w:firstLineChars="200"/>
        <w:jc w:val="left"/>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pacing w:val="-12"/>
          <w:sz w:val="32"/>
          <w:szCs w:val="32"/>
        </w:rPr>
        <w:t xml:space="preserve"> </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shd w:val="clear" w:color="auto" w:fill="FFFFFF"/>
        </w:rPr>
        <w:t>城镇绿化应当坚持因地制宜的原则，鼓励、支持充分利用城镇自然山体、水体植被丰富的优势，通过科学规划、合理改造，多种形式建设城镇山体生态公园、湿地公园和其他绿地。</w:t>
      </w:r>
    </w:p>
    <w:p>
      <w:pPr>
        <w:widowControl/>
        <w:shd w:val="clear" w:color="auto" w:fill="FFFFFF"/>
        <w:adjustRightInd w:val="0"/>
        <w:snapToGrid w:val="0"/>
        <w:spacing w:line="580" w:lineRule="atLeast"/>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城乡规划主管部门会同城镇绿化主管部门和其他有关部门，根据城市总体规划、县城总体规划编制绿化专项规划，经同级人民政府批准后实施，并报上一级城镇绿化主管部门备案。</w:t>
      </w:r>
    </w:p>
    <w:p>
      <w:pPr>
        <w:widowControl/>
        <w:shd w:val="clear" w:color="auto" w:fill="FFFFFF"/>
        <w:adjustRightInd w:val="0"/>
        <w:snapToGrid w:val="0"/>
        <w:spacing w:line="580" w:lineRule="atLeast"/>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编制</w:t>
      </w:r>
      <w:r>
        <w:rPr>
          <w:rFonts w:hint="eastAsia" w:ascii="仿宋_GB2312" w:hAnsi="仿宋_GB2312" w:eastAsia="仿宋_GB2312" w:cs="仿宋_GB2312"/>
          <w:color w:val="000000"/>
          <w:kern w:val="0"/>
          <w:sz w:val="32"/>
          <w:szCs w:val="32"/>
        </w:rPr>
        <w:t>镇区规划和集镇规划，应当包含绿化规划内容，并且达到控制性详细规划的深度。</w:t>
      </w:r>
    </w:p>
    <w:p>
      <w:pPr>
        <w:adjustRightInd w:val="0"/>
        <w:snapToGrid w:val="0"/>
        <w:spacing w:line="580" w:lineRule="atLeast"/>
        <w:ind w:firstLine="600"/>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kern w:val="0"/>
          <w:sz w:val="32"/>
          <w:szCs w:val="32"/>
        </w:rPr>
        <w:t>任何单位和个人不得擅自改变城镇绿化规划和绿地性质、用途。确因特殊原因需要改变的，应当按照原批准程序重新审批。</w:t>
      </w:r>
    </w:p>
    <w:p>
      <w:pPr>
        <w:adjustRightInd w:val="0"/>
        <w:snapToGrid w:val="0"/>
        <w:spacing w:line="580" w:lineRule="atLeast"/>
        <w:ind w:firstLine="6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调整城镇绿线不得减少规划绿地总量，因调整而减少规划绿地的，应当予以补足。</w:t>
      </w:r>
    </w:p>
    <w:p>
      <w:pPr>
        <w:widowControl/>
        <w:shd w:val="clear" w:color="auto" w:fill="FFFFFF"/>
        <w:adjustRightInd w:val="0"/>
        <w:snapToGrid w:val="0"/>
        <w:spacing w:line="580" w:lineRule="atLeast"/>
        <w:ind w:firstLine="640" w:firstLineChars="200"/>
        <w:jc w:val="left"/>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实行永久保护绿地制度。 市、区县城镇绿化主管部门应当会同城乡规划、国土资源等部门，将符合城乡规划，生态功能、服务功能突出，具有长期保护价值的城镇绿地，在征求有关方面意见后，报同级人民政府审核拟定为永久保护绿地，并由市、区县人民政府提请同级人民代表大会常务委员会审议确定为永久保护绿地。</w:t>
      </w:r>
    </w:p>
    <w:p>
      <w:pPr>
        <w:widowControl/>
        <w:shd w:val="clear" w:color="auto" w:fill="FFFFFF"/>
        <w:adjustRightInd w:val="0"/>
        <w:snapToGrid w:val="0"/>
        <w:spacing w:line="580" w:lineRule="atLeast"/>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永久保护绿地按前款规定的程序每三年增补一次。</w:t>
      </w:r>
    </w:p>
    <w:p>
      <w:pPr>
        <w:widowControl/>
        <w:shd w:val="clear" w:color="auto" w:fill="FFFFFF"/>
        <w:adjustRightInd w:val="0"/>
        <w:snapToGrid w:val="0"/>
        <w:spacing w:line="580" w:lineRule="atLeast"/>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永久保护绿地一经确定，任何单位和个人不得擅自改变其范围和用途，不得擅自砍伐、变更其主要树种，改变主要绿化景观。禁止将永久保护绿地用于经营性开发建设。市、区县人民政府应当在绿地区域设置显著标识予以公示。</w:t>
      </w:r>
    </w:p>
    <w:p>
      <w:pPr>
        <w:widowControl/>
        <w:shd w:val="clear" w:color="auto" w:fill="FFFFFF"/>
        <w:adjustRightInd w:val="0"/>
        <w:snapToGrid w:val="0"/>
        <w:spacing w:line="580" w:lineRule="atLeast"/>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因国家和省重大公用设施建设等原因，确需改变永久保护绿地范围和用途的，由市、区县人民政府通过召开听证会听取各方面意见后提出调整方案，提请同级人民代表大会常务委员会审议批准。</w:t>
      </w:r>
    </w:p>
    <w:p>
      <w:pPr>
        <w:adjustRightInd w:val="0"/>
        <w:snapToGrid w:val="0"/>
        <w:spacing w:line="580" w:lineRule="atLeast"/>
        <w:ind w:firstLine="6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城镇建成区绿地率不得低于百分之三十五，绿化覆盖率不得低于百分之四十。</w:t>
      </w:r>
    </w:p>
    <w:p>
      <w:pPr>
        <w:adjustRightInd w:val="0"/>
        <w:snapToGrid w:val="0"/>
        <w:spacing w:line="580" w:lineRule="atLeast"/>
        <w:ind w:firstLine="6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镇绿化工程项目，应当体现地方特色，注重城镇山体、水体绿廊建设，配置乡土乔木树种的比例应当占该项目绿地乔木树种总量的百分之七十以上；乔灌木覆盖率应当占绿地总面积的百分之七十以上，其中乔木覆盖率不低于百分之五十。</w:t>
      </w:r>
    </w:p>
    <w:p>
      <w:pPr>
        <w:adjustRightInd w:val="0"/>
        <w:snapToGrid w:val="0"/>
        <w:spacing w:line="580" w:lineRule="atLeast"/>
        <w:ind w:firstLine="6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新建项目的绿地率，应达到以下标准：</w:t>
      </w:r>
    </w:p>
    <w:p>
      <w:pPr>
        <w:adjustRightInd w:val="0"/>
        <w:snapToGrid w:val="0"/>
        <w:spacing w:line="580" w:lineRule="atLeast"/>
        <w:ind w:firstLine="6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（一）高层居住建筑类项目绿地率不得低于百分之四十，低、多层居住建筑类项目绿地率不得低于百分之三十五；</w:t>
      </w:r>
    </w:p>
    <w:p>
      <w:pPr>
        <w:adjustRightInd w:val="0"/>
        <w:snapToGrid w:val="0"/>
        <w:spacing w:line="580" w:lineRule="atLeast"/>
        <w:ind w:firstLine="6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（二）高层公共管理与公共服务建筑类项目绿地率不得低于百分之三十五，单、多层公共管理与公共服务建筑类项目绿地率不得低于百分之三十；</w:t>
      </w:r>
    </w:p>
    <w:p>
      <w:pPr>
        <w:pStyle w:val="17"/>
        <w:adjustRightInd w:val="0"/>
        <w:snapToGrid w:val="0"/>
        <w:spacing w:line="580" w:lineRule="atLeast"/>
        <w:ind w:firstLine="64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（三）商业服务业建筑类项目绿地率不得低于百分之二十；</w:t>
      </w:r>
    </w:p>
    <w:p>
      <w:pPr>
        <w:pStyle w:val="17"/>
        <w:adjustRightInd w:val="0"/>
        <w:snapToGrid w:val="0"/>
        <w:spacing w:line="580" w:lineRule="atLeast"/>
        <w:ind w:firstLine="64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（四）其他建设项目的绿地率按照国家有关规定执行。</w:t>
      </w:r>
    </w:p>
    <w:p>
      <w:pPr>
        <w:adjustRightInd w:val="0"/>
        <w:snapToGrid w:val="0"/>
        <w:spacing w:line="580" w:lineRule="atLeast"/>
        <w:ind w:firstLine="6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旧城改造区建设的绿地率达不到前款（一）（二）（三）项规定标准的，可以比照降低百分之五。</w:t>
      </w:r>
    </w:p>
    <w:p>
      <w:pPr>
        <w:adjustRightInd w:val="0"/>
        <w:snapToGrid w:val="0"/>
        <w:spacing w:line="580" w:lineRule="atLeast"/>
        <w:ind w:firstLine="6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外围绿化面积较大以及受条件限制的镇，新建项目的绿地率指标由市、区县人民政府根据权限予以确定。</w:t>
      </w:r>
    </w:p>
    <w:p>
      <w:pPr>
        <w:adjustRightInd w:val="0"/>
        <w:snapToGrid w:val="0"/>
        <w:spacing w:line="580" w:lineRule="atLeas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kern w:val="0"/>
          <w:sz w:val="32"/>
          <w:szCs w:val="32"/>
        </w:rPr>
        <w:t>建设项目附属绿化工程，应当与主体工程同时设计、同时施工，所需资金列入工程总预算。城镇绿化主管部门应当参加审查城镇建设项目附属绿化工程等的设计方案，并提出审查意见。</w:t>
      </w:r>
    </w:p>
    <w:p>
      <w:pPr>
        <w:adjustRightInd w:val="0"/>
        <w:snapToGrid w:val="0"/>
        <w:spacing w:line="580" w:lineRule="atLeast"/>
        <w:ind w:firstLine="6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rPr>
        <w:t>建设单位、绿化工程施工单位应当按照批准的设计方案进行施工。设计方案确需变更的，应当经原批准机关批准，并不得降低绿化指标。</w:t>
      </w:r>
    </w:p>
    <w:p>
      <w:pPr>
        <w:widowControl/>
        <w:shd w:val="clear" w:color="auto" w:fill="FFFFFF"/>
        <w:adjustRightInd w:val="0"/>
        <w:snapToGrid w:val="0"/>
        <w:spacing w:line="580" w:lineRule="atLeast"/>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第十三条</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城乡规划主管部门应当按照规定对相关绿化工程面积和位置是否符合规划条件予以核实。未经核实或者经核实不符合规划条件的，建设单位不得组织竣工验收。</w:t>
      </w:r>
    </w:p>
    <w:p>
      <w:pPr>
        <w:widowControl/>
        <w:shd w:val="clear" w:color="auto" w:fill="FFFFFF"/>
        <w:adjustRightInd w:val="0"/>
        <w:snapToGrid w:val="0"/>
        <w:spacing w:line="580" w:lineRule="atLeast"/>
        <w:ind w:firstLine="48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建设项目附属绿化工程竣工后，建设单位应当依法组织验收，并按照规定对相关绿化工程是否符合设计方案予以核实。</w:t>
      </w:r>
    </w:p>
    <w:p>
      <w:pPr>
        <w:widowControl/>
        <w:shd w:val="clear" w:color="auto" w:fill="FFFFFF"/>
        <w:adjustRightInd w:val="0"/>
        <w:snapToGrid w:val="0"/>
        <w:spacing w:line="580" w:lineRule="atLeast"/>
        <w:ind w:firstLine="48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居住区附属绿化工程竣工验收合格后，建设单位应当在居住区的显著位置公示绿地平面图。</w:t>
      </w:r>
    </w:p>
    <w:p>
      <w:pPr>
        <w:widowControl/>
        <w:shd w:val="clear" w:color="auto" w:fill="FFFFFF"/>
        <w:adjustRightInd w:val="0"/>
        <w:snapToGrid w:val="0"/>
        <w:spacing w:line="580" w:lineRule="atLeast"/>
        <w:ind w:firstLine="640" w:firstLineChars="200"/>
        <w:jc w:val="left"/>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城镇绿化养护管理的责任人按照下列规定确定：</w:t>
      </w:r>
    </w:p>
    <w:p>
      <w:pPr>
        <w:adjustRightInd w:val="0"/>
        <w:snapToGrid w:val="0"/>
        <w:spacing w:line="580" w:lineRule="atLeas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（一）公园绿地、道路广场绿地、市政设施绿地等，由城镇绿化主管部门负责；</w:t>
      </w:r>
    </w:p>
    <w:p>
      <w:pPr>
        <w:adjustRightInd w:val="0"/>
        <w:snapToGrid w:val="0"/>
        <w:spacing w:line="580" w:lineRule="atLeas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（二）机关、企业、事业单位附属绿地由所属单位负责；</w:t>
      </w:r>
    </w:p>
    <w:p>
      <w:pPr>
        <w:adjustRightInd w:val="0"/>
        <w:snapToGrid w:val="0"/>
        <w:spacing w:line="580" w:lineRule="atLeas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（三）住宅区的绿地，由业主或者业主委托的物业服务机构负责；</w:t>
      </w:r>
    </w:p>
    <w:p>
      <w:pPr>
        <w:adjustRightInd w:val="0"/>
        <w:snapToGrid w:val="0"/>
        <w:spacing w:line="580" w:lineRule="atLeas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（四）铁路、公路、机场、河道等管理范围内的防护绿地，由相应的管理部门负责；</w:t>
      </w:r>
    </w:p>
    <w:p>
      <w:pPr>
        <w:adjustRightInd w:val="0"/>
        <w:snapToGrid w:val="0"/>
        <w:spacing w:line="580" w:lineRule="atLeas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（五）建设工程用地范围内保留的绿地，在施工期间由施工单位负责；</w:t>
      </w:r>
    </w:p>
    <w:p>
      <w:pPr>
        <w:adjustRightInd w:val="0"/>
        <w:snapToGrid w:val="0"/>
        <w:spacing w:line="580" w:lineRule="atLeas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（六）苗圃、草圃和花圃等生产性绿地，由其经营者负责。</w:t>
      </w:r>
    </w:p>
    <w:p>
      <w:pPr>
        <w:adjustRightInd w:val="0"/>
        <w:snapToGrid w:val="0"/>
        <w:spacing w:line="580" w:lineRule="atLeas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前款规定以外的绿地，由各级人民政府确定的单位或个人负责。</w:t>
      </w:r>
    </w:p>
    <w:p>
      <w:pPr>
        <w:adjustRightInd w:val="0"/>
        <w:snapToGrid w:val="0"/>
        <w:spacing w:line="580" w:lineRule="atLeas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各级人民政府及其部门作为绿化养护主体的，可以采取政府购买服务的方式实施绿化养护。</w:t>
      </w:r>
    </w:p>
    <w:p>
      <w:pPr>
        <w:widowControl/>
        <w:shd w:val="clear" w:color="auto" w:fill="FFFFFF"/>
        <w:adjustRightInd w:val="0"/>
        <w:snapToGrid w:val="0"/>
        <w:spacing w:line="580" w:lineRule="atLeast"/>
        <w:ind w:firstLine="640" w:firstLineChars="200"/>
        <w:jc w:val="left"/>
        <w:rPr>
          <w:rFonts w:hint="eastAsia" w:ascii="仿宋_GB2312" w:hAnsi="仿宋_GB2312" w:eastAsia="仿宋_GB2312" w:cs="仿宋_GB2312"/>
          <w:color w:val="000000"/>
          <w:sz w:val="32"/>
          <w:szCs w:val="32"/>
          <w:shd w:val="clear" w:color="auto" w:fill="FEFEFE"/>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shd w:val="clear" w:color="auto" w:fill="FEFEFE"/>
        </w:rPr>
        <w:t>城镇绿化的养护管理责任人应当按照绿化养护技术规范和标准进行养护，</w:t>
      </w:r>
      <w:r>
        <w:rPr>
          <w:rFonts w:hint="eastAsia" w:ascii="仿宋_GB2312" w:hAnsi="仿宋_GB2312" w:eastAsia="仿宋_GB2312" w:cs="仿宋_GB2312"/>
          <w:color w:val="000000"/>
          <w:kern w:val="0"/>
          <w:sz w:val="32"/>
          <w:szCs w:val="32"/>
        </w:rPr>
        <w:t>对树木的生长和养护管理进行定期检查，防止树木倒伏、断裂等安全事故发生</w:t>
      </w:r>
      <w:r>
        <w:rPr>
          <w:rFonts w:hint="eastAsia" w:ascii="仿宋_GB2312" w:hAnsi="仿宋_GB2312" w:eastAsia="仿宋_GB2312" w:cs="仿宋_GB2312"/>
          <w:color w:val="000000"/>
          <w:sz w:val="32"/>
          <w:szCs w:val="32"/>
          <w:shd w:val="clear" w:color="auto" w:fill="FEFEFE"/>
        </w:rPr>
        <w:t>；对损害绿化及其设施的行为，应当及时劝阻并报告城镇绿化主管部门。</w:t>
      </w:r>
    </w:p>
    <w:p>
      <w:pPr>
        <w:widowControl/>
        <w:shd w:val="clear" w:color="auto" w:fill="FFFFFF"/>
        <w:adjustRightInd w:val="0"/>
        <w:snapToGrid w:val="0"/>
        <w:spacing w:line="580" w:lineRule="atLeast"/>
        <w:ind w:firstLine="640" w:firstLineChars="200"/>
        <w:jc w:val="left"/>
        <w:rPr>
          <w:rFonts w:hint="eastAsia" w:ascii="仿宋_GB2312" w:hAnsi="仿宋_GB2312" w:eastAsia="仿宋_GB2312" w:cs="仿宋_GB2312"/>
          <w:color w:val="000000"/>
          <w:sz w:val="32"/>
          <w:szCs w:val="32"/>
          <w:shd w:val="clear" w:color="auto" w:fill="FEFEFE"/>
        </w:rPr>
      </w:pPr>
      <w:r>
        <w:rPr>
          <w:rFonts w:hint="eastAsia" w:ascii="仿宋_GB2312" w:hAnsi="仿宋_GB2312" w:eastAsia="仿宋_GB2312" w:cs="仿宋_GB2312"/>
          <w:color w:val="000000"/>
          <w:sz w:val="32"/>
          <w:szCs w:val="32"/>
          <w:shd w:val="clear" w:color="auto" w:fill="FEFEFE"/>
        </w:rPr>
        <w:t>城镇绿化主管部门应当加强日常巡查工作，及时对城镇绿化养护管理责任人进行指导。</w:t>
      </w:r>
    </w:p>
    <w:p>
      <w:pPr>
        <w:widowControl/>
        <w:shd w:val="clear" w:color="auto" w:fill="FFFFFF"/>
        <w:adjustRightInd w:val="0"/>
        <w:snapToGrid w:val="0"/>
        <w:spacing w:line="580" w:lineRule="atLeast"/>
        <w:ind w:firstLine="640" w:firstLineChars="200"/>
        <w:jc w:val="left"/>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ab/>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任何单位和个人不得擅自占用城镇绿地。</w:t>
      </w:r>
    </w:p>
    <w:p>
      <w:pPr>
        <w:widowControl/>
        <w:shd w:val="clear" w:color="auto" w:fill="FFFFFF"/>
        <w:adjustRightInd w:val="0"/>
        <w:snapToGrid w:val="0"/>
        <w:spacing w:line="580" w:lineRule="atLeast"/>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因建设或者其他特殊情况需要临时占用城镇绿地的，应当经城镇绿化主管部门同意，按照有关规定办理临时占用批准手续，并将临时占用绿地的范围、期限及批准文件予以公示。</w:t>
      </w:r>
    </w:p>
    <w:p>
      <w:pPr>
        <w:widowControl/>
        <w:shd w:val="clear" w:color="auto" w:fill="FFFFFF"/>
        <w:adjustRightInd w:val="0"/>
        <w:snapToGrid w:val="0"/>
        <w:spacing w:line="580" w:lineRule="atLeast"/>
        <w:ind w:firstLine="640" w:firstLineChars="200"/>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临时占用城镇绿地期限一般不超过二年，因特殊原因确需延长的，应当提前一个月办理延期手续，延长期限不得超过一年。临时占用期满后，应当恢复原状。造成损失的，应当赔偿。</w:t>
      </w:r>
    </w:p>
    <w:p>
      <w:pPr>
        <w:widowControl/>
        <w:shd w:val="clear" w:color="auto" w:fill="FFFFFF"/>
        <w:adjustRightInd w:val="0"/>
        <w:snapToGrid w:val="0"/>
        <w:spacing w:line="580" w:lineRule="atLeast"/>
        <w:ind w:firstLine="640" w:firstLineChars="200"/>
        <w:jc w:val="left"/>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禁止损毁和擅自砍伐、移植城镇绿化树木，确需砍伐、移植的，应当经城镇绿化主管部门批准。</w:t>
      </w:r>
    </w:p>
    <w:p>
      <w:pPr>
        <w:adjustRightInd w:val="0"/>
        <w:snapToGrid w:val="0"/>
        <w:spacing w:line="580" w:lineRule="atLeast"/>
        <w:rPr>
          <w:rFonts w:hint="eastAsia" w:ascii="仿宋_GB2312" w:hAnsi="仿宋_GB2312" w:eastAsia="仿宋_GB2312" w:cs="仿宋_GB2312"/>
          <w:color w:val="000000"/>
          <w:spacing w:val="-14"/>
          <w:sz w:val="32"/>
          <w:szCs w:val="32"/>
        </w:rPr>
      </w:pPr>
      <w:r>
        <w:rPr>
          <w:rFonts w:hint="eastAsia" w:ascii="仿宋_GB2312" w:hAnsi="仿宋_GB2312" w:eastAsia="仿宋_GB2312" w:cs="仿宋_GB2312"/>
          <w:color w:val="000000"/>
          <w:kern w:val="0"/>
          <w:sz w:val="32"/>
          <w:szCs w:val="32"/>
        </w:rPr>
        <w:t xml:space="preserve">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pacing w:val="-14"/>
          <w:sz w:val="32"/>
          <w:szCs w:val="32"/>
        </w:rPr>
        <w:t>禁止下列损害城镇绿化及其设施的行为：</w:t>
      </w:r>
    </w:p>
    <w:p>
      <w:pPr>
        <w:adjustRightInd w:val="0"/>
        <w:snapToGrid w:val="0"/>
        <w:spacing w:line="580" w:lineRule="atLeas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（一）在城镇绿地上擅自设置构筑物和其他设施；</w:t>
      </w:r>
    </w:p>
    <w:p>
      <w:pPr>
        <w:adjustRightInd w:val="0"/>
        <w:snapToGrid w:val="0"/>
        <w:spacing w:line="580" w:lineRule="atLeas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（二）在城镇绿地上擅自挖坑、采石、取土、焚烧；</w:t>
      </w:r>
    </w:p>
    <w:p>
      <w:pPr>
        <w:adjustRightInd w:val="0"/>
        <w:snapToGrid w:val="0"/>
        <w:spacing w:line="580" w:lineRule="atLeas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（三）在城镇绿地上停放车辆，堆放杂物，倾倒垃圾，排放污水、污物；</w:t>
      </w:r>
    </w:p>
    <w:p>
      <w:pPr>
        <w:adjustRightInd w:val="0"/>
        <w:snapToGrid w:val="0"/>
        <w:spacing w:line="580" w:lineRule="atLeas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（四）在城镇绿地上设置摊点、放养禽畜、种植蔬菜或者其他农作物；</w:t>
      </w:r>
    </w:p>
    <w:p>
      <w:pPr>
        <w:adjustRightInd w:val="0"/>
        <w:snapToGrid w:val="0"/>
        <w:spacing w:line="580" w:lineRule="atLeas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（五）借用树木或者绿化设施作为支撑物悬挂物体或者固定物体；</w:t>
      </w:r>
    </w:p>
    <w:p>
      <w:pPr>
        <w:adjustRightInd w:val="0"/>
        <w:snapToGrid w:val="0"/>
        <w:spacing w:line="580" w:lineRule="atLeas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（六）攀折、损坏树木，采摘花草，践踏绿篱和草坪；</w:t>
      </w:r>
    </w:p>
    <w:p>
      <w:pPr>
        <w:adjustRightInd w:val="0"/>
        <w:snapToGrid w:val="0"/>
        <w:spacing w:line="580" w:lineRule="atLeas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（七）其他损害城镇绿化的行为。</w:t>
      </w:r>
    </w:p>
    <w:p>
      <w:pPr>
        <w:pStyle w:val="6"/>
        <w:adjustRightInd w:val="0"/>
        <w:snapToGrid w:val="0"/>
        <w:spacing w:before="0" w:beforeAutospacing="0" w:after="0" w:afterAutospacing="0" w:line="580" w:lineRule="atLeast"/>
        <w:ind w:firstLine="645"/>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bidi="ar-SA"/>
        </w:rPr>
        <w:t>第二十条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城镇绿化管理相关部门应当坚持处罚与教育相结合的原则，对于违法行为轻微并能及时纠正，没有造成损害后果的，不予行政处罚。</w:t>
      </w:r>
    </w:p>
    <w:p>
      <w:pPr>
        <w:pStyle w:val="6"/>
        <w:adjustRightInd w:val="0"/>
        <w:snapToGrid w:val="0"/>
        <w:spacing w:before="0" w:beforeAutospacing="0" w:after="0" w:afterAutospacing="0" w:line="580" w:lineRule="atLeast"/>
        <w:ind w:firstLine="645"/>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对于违反本条例规定应当予以处罚的，由城镇绿化主管部门按照下列规定执行；构成犯罪的，依法追究刑事责任：</w:t>
      </w:r>
    </w:p>
    <w:p>
      <w:pPr>
        <w:pStyle w:val="6"/>
        <w:adjustRightInd w:val="0"/>
        <w:snapToGrid w:val="0"/>
        <w:spacing w:before="0" w:beforeAutospacing="0" w:after="0" w:afterAutospacing="0" w:line="580" w:lineRule="atLeast"/>
        <w:ind w:firstLine="645"/>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（一）违反本条例第九条规定，擅自占用永久保护绿地或者毁坏永久保护绿地的，责令限期改正、恢复原状，并处所占用、毁损绿化用地面积每平方米一千元以上五千元以下的罚款；造成损失的，应当赔偿损失。</w:t>
      </w:r>
    </w:p>
    <w:p>
      <w:pPr>
        <w:pStyle w:val="6"/>
        <w:adjustRightInd w:val="0"/>
        <w:snapToGrid w:val="0"/>
        <w:spacing w:before="0" w:beforeAutospacing="0" w:after="0" w:afterAutospacing="0" w:line="580" w:lineRule="atLeast"/>
        <w:ind w:firstLine="645"/>
        <w:rPr>
          <w:rFonts w:hint="eastAsia" w:ascii="仿宋_GB2312" w:hAnsi="仿宋_GB2312" w:eastAsia="仿宋_GB2312" w:cs="仿宋_GB2312"/>
          <w:color w:val="000000"/>
          <w:sz w:val="32"/>
          <w:szCs w:val="32"/>
          <w:shd w:val="clear" w:color="auto" w:fill="FEFEFE"/>
        </w:rPr>
      </w:pPr>
      <w:r>
        <w:rPr>
          <w:rFonts w:hint="eastAsia" w:ascii="仿宋_GB2312" w:hAnsi="仿宋_GB2312" w:eastAsia="仿宋_GB2312" w:cs="仿宋_GB2312"/>
          <w:color w:val="000000"/>
          <w:sz w:val="32"/>
          <w:szCs w:val="32"/>
        </w:rPr>
        <w:t>（二）违反本条例第十七条规定，未经许可擅自占用城镇绿地的，责令限期改正，恢复原状，可以并处所占</w:t>
      </w:r>
      <w:r>
        <w:rPr>
          <w:rFonts w:hint="eastAsia" w:ascii="仿宋_GB2312" w:hAnsi="仿宋_GB2312" w:eastAsia="仿宋_GB2312" w:cs="仿宋_GB2312"/>
          <w:color w:val="000000"/>
          <w:sz w:val="32"/>
          <w:szCs w:val="32"/>
          <w:shd w:val="clear" w:color="auto" w:fill="FEFEFE"/>
        </w:rPr>
        <w:t>绿地面积每平方米二百元以上一千元以下的罚款；造成损失的，应当承担赔偿责任；经批准临时占用城镇绿地但未及时归还、恢复原状的，责令限期退还、恢复原状，可以并处所占绿地面积每平方米二百元以上五百元以下的罚款。</w:t>
      </w:r>
    </w:p>
    <w:p>
      <w:pPr>
        <w:adjustRightInd w:val="0"/>
        <w:snapToGrid w:val="0"/>
        <w:spacing w:line="580" w:lineRule="atLeast"/>
        <w:ind w:firstLine="6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z w:val="32"/>
          <w:szCs w:val="32"/>
        </w:rPr>
        <w:t>（三）违反本条例第十八条规定，擅自砍伐、移植或毁损城镇绿化树木的，责令停止违法行为，并处五百元以上五千元以下罚款；造成损失的，应当承担赔偿责任。</w:t>
      </w:r>
    </w:p>
    <w:p>
      <w:pPr>
        <w:adjustRightInd w:val="0"/>
        <w:snapToGrid w:val="0"/>
        <w:spacing w:line="580" w:lineRule="atLeast"/>
        <w:ind w:firstLine="6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pacing w:val="4"/>
          <w:sz w:val="32"/>
          <w:szCs w:val="32"/>
        </w:rPr>
        <w:t>（四）</w:t>
      </w:r>
      <w:r>
        <w:rPr>
          <w:rFonts w:hint="eastAsia" w:ascii="仿宋_GB2312" w:hAnsi="仿宋_GB2312" w:eastAsia="仿宋_GB2312" w:cs="仿宋_GB2312"/>
          <w:color w:val="000000"/>
          <w:sz w:val="32"/>
          <w:szCs w:val="32"/>
        </w:rPr>
        <w:t>违反本条例第十九条规定，损害城镇绿化及其设施的，责令停止侵害，恢复原状，可以并处五十元以上二百元以下罚款；造成损失的，应当赔偿损失。</w:t>
      </w:r>
    </w:p>
    <w:p>
      <w:pPr>
        <w:adjustRightInd w:val="0"/>
        <w:snapToGrid w:val="0"/>
        <w:spacing w:line="580" w:lineRule="atLeast"/>
        <w:ind w:firstLine="6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违反本条例第十一条规定，建设项目未按照规划指标建设绿地的，责令限期改正；逾期不予改正或者改正后达不到规定的绿地率标准的，由城乡规划主管部门按照城乡规划法律法规处罚。</w:t>
      </w:r>
    </w:p>
    <w:p>
      <w:pPr>
        <w:pStyle w:val="6"/>
        <w:adjustRightInd w:val="0"/>
        <w:snapToGrid w:val="0"/>
        <w:spacing w:before="0" w:beforeAutospacing="0" w:after="0" w:afterAutospacing="0" w:line="580" w:lineRule="atLeas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kern w:val="2"/>
          <w:sz w:val="32"/>
          <w:szCs w:val="32"/>
          <w:lang w:val="en-US" w:eastAsia="zh-CN" w:bidi="ar-SA"/>
        </w:rPr>
        <w:t>第二十一条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本条例规定的行政处罚，按照城市管理相对集中行政处罚权相关规定，应当由城市管理综合行政执法部门行使的，从其规定。</w:t>
      </w:r>
    </w:p>
    <w:p>
      <w:pPr>
        <w:adjustRightInd w:val="0"/>
        <w:snapToGrid w:val="0"/>
        <w:spacing w:line="580" w:lineRule="atLeas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城镇绿化主管部门应当会同相关部门建立工作协调机制，加强城镇绿化工作监督检查，依法查处违反城镇绿化管理规定的行为。</w:t>
      </w:r>
    </w:p>
    <w:p>
      <w:pPr>
        <w:pStyle w:val="6"/>
        <w:adjustRightInd w:val="0"/>
        <w:snapToGrid w:val="0"/>
        <w:spacing w:before="0" w:beforeAutospacing="0" w:after="0" w:afterAutospacing="0" w:line="580" w:lineRule="atLeas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镇人民政府、街道办事处应当对本辖区内违反本条例的行为，及时予以制止，或者向市和区县有关部门报告，并配合有关部门进行查处。</w:t>
      </w:r>
    </w:p>
    <w:p>
      <w:pPr>
        <w:pStyle w:val="6"/>
        <w:adjustRightInd w:val="0"/>
        <w:snapToGrid w:val="0"/>
        <w:spacing w:before="0" w:beforeAutospacing="0" w:after="0" w:afterAutospacing="0" w:line="580" w:lineRule="atLeas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居民委员会发现违反本条例行为的，应当予以劝阻，或者向有关部门报告。 </w:t>
      </w:r>
    </w:p>
    <w:p>
      <w:pPr>
        <w:adjustRightInd w:val="0"/>
        <w:snapToGrid w:val="0"/>
        <w:spacing w:line="580" w:lineRule="atLeast"/>
        <w:ind w:firstLine="600"/>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kern w:val="0"/>
          <w:sz w:val="32"/>
          <w:szCs w:val="32"/>
        </w:rPr>
        <w:t>国家工作人员在城镇绿化工作中违反本条例规定，有下列情形之一的，由其所在单位、监察机关或者上级主管部门给予行政处分；构成犯罪的，依法追究刑事责任：</w:t>
      </w:r>
    </w:p>
    <w:p>
      <w:pPr>
        <w:widowControl/>
        <w:shd w:val="clear" w:color="auto" w:fill="FFFFFF"/>
        <w:adjustRightInd w:val="0"/>
        <w:snapToGrid w:val="0"/>
        <w:spacing w:line="580" w:lineRule="atLeast"/>
        <w:ind w:firstLine="640"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（一）擅自变更城镇绿线、改变城镇绿地性质和用途的；</w:t>
      </w:r>
    </w:p>
    <w:p>
      <w:pPr>
        <w:widowControl/>
        <w:shd w:val="clear" w:color="auto" w:fill="FFFFFF"/>
        <w:adjustRightInd w:val="0"/>
        <w:snapToGrid w:val="0"/>
        <w:spacing w:line="580" w:lineRule="atLeast"/>
        <w:ind w:firstLine="640"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（二）违规核发规划许可的；</w:t>
      </w:r>
    </w:p>
    <w:p>
      <w:pPr>
        <w:widowControl/>
        <w:shd w:val="clear" w:color="auto" w:fill="FFFFFF"/>
        <w:adjustRightInd w:val="0"/>
        <w:snapToGrid w:val="0"/>
        <w:spacing w:line="580" w:lineRule="atLeast"/>
        <w:ind w:firstLine="640"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（三）玩忽职守、滥用职权、徇私舞弊的；</w:t>
      </w:r>
    </w:p>
    <w:p>
      <w:pPr>
        <w:widowControl/>
        <w:shd w:val="clear" w:color="auto" w:fill="FFFFFF"/>
        <w:adjustRightInd w:val="0"/>
        <w:snapToGrid w:val="0"/>
        <w:spacing w:line="580" w:lineRule="atLeast"/>
        <w:ind w:firstLine="640"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（四）包庇、纵容违法当事人，对依法应当处罚的绿化违法当事人不予处罚的;</w:t>
      </w:r>
    </w:p>
    <w:p>
      <w:pPr>
        <w:widowControl/>
        <w:shd w:val="clear" w:color="auto" w:fill="FFFFFF"/>
        <w:adjustRightInd w:val="0"/>
        <w:snapToGrid w:val="0"/>
        <w:spacing w:line="580" w:lineRule="atLeast"/>
        <w:ind w:firstLine="640"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（五）</w:t>
      </w:r>
      <w:r>
        <w:rPr>
          <w:rFonts w:hint="eastAsia" w:ascii="仿宋_GB2312" w:hAnsi="仿宋_GB2312" w:eastAsia="仿宋_GB2312" w:cs="仿宋_GB2312"/>
          <w:sz w:val="32"/>
          <w:szCs w:val="32"/>
        </w:rPr>
        <w:t>其他在城镇绿化管理过程中应当追究责任的行为。</w:t>
      </w:r>
    </w:p>
    <w:p>
      <w:pPr>
        <w:adjustRightInd w:val="0"/>
        <w:snapToGrid w:val="0"/>
        <w:spacing w:line="580" w:lineRule="atLeast"/>
        <w:ind w:firstLine="600"/>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rPr>
        <w:t xml:space="preserve">第二十四条 </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shd w:val="clear" w:color="auto" w:fill="FFFFFF"/>
        </w:rPr>
        <w:t>乡、民族乡规划区建</w:t>
      </w:r>
      <w:bookmarkStart w:id="0" w:name="_GoBack"/>
      <w:bookmarkEnd w:id="0"/>
      <w:r>
        <w:rPr>
          <w:rFonts w:hint="eastAsia" w:ascii="仿宋_GB2312" w:hAnsi="仿宋_GB2312" w:eastAsia="仿宋_GB2312" w:cs="仿宋_GB2312"/>
          <w:color w:val="000000"/>
          <w:sz w:val="32"/>
          <w:szCs w:val="32"/>
          <w:shd w:val="clear" w:color="auto" w:fill="FFFFFF"/>
        </w:rPr>
        <w:t>设用地范围内绿化的规划、建设、保护和管理参照本条例执行。</w:t>
      </w:r>
    </w:p>
    <w:p>
      <w:pPr>
        <w:adjustRightInd w:val="0"/>
        <w:snapToGrid w:val="0"/>
        <w:spacing w:line="580" w:lineRule="atLeast"/>
        <w:ind w:firstLine="600"/>
        <w:rPr>
          <w:rFonts w:hint="eastAsia" w:ascii="仿宋_GB2312" w:hAnsi="仿宋_GB2312" w:eastAsia="仿宋_GB2312" w:cs="仿宋_GB2312"/>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b/>
          <w:color w:val="000000"/>
          <w:sz w:val="32"/>
          <w:szCs w:val="32"/>
          <w:lang w:val="en-US" w:eastAsia="zh-CN"/>
        </w:rPr>
        <w:t xml:space="preserve"> </w:t>
      </w:r>
      <w:r>
        <w:rPr>
          <w:rFonts w:hint="eastAsia" w:ascii="仿宋_GB2312" w:hAnsi="仿宋_GB2312" w:eastAsia="仿宋_GB2312" w:cs="仿宋_GB2312"/>
          <w:color w:val="000000"/>
          <w:sz w:val="32"/>
          <w:szCs w:val="32"/>
        </w:rPr>
        <w:t>本条例经省人民代表大会常务委员会批准后，由市人民代表大会常务委员会公布，自2017年1月1日起施行。</w:t>
      </w:r>
    </w:p>
    <w:p>
      <w:pPr>
        <w:adjustRightInd w:val="0"/>
        <w:snapToGrid w:val="0"/>
        <w:spacing w:line="580" w:lineRule="atLeast"/>
        <w:ind w:firstLine="3840" w:firstLineChars="1200"/>
        <w:rPr>
          <w:rFonts w:hint="eastAsia" w:ascii="仿宋_GB2312" w:hAnsi="仿宋_GB2312" w:eastAsia="仿宋_GB2312" w:cs="仿宋_GB2312"/>
          <w:sz w:val="32"/>
          <w:szCs w:val="32"/>
        </w:rPr>
      </w:pPr>
    </w:p>
    <w:p>
      <w:pPr>
        <w:shd w:val="clear" w:color="auto" w:fill="FFFFFF"/>
        <w:adjustRightInd w:val="0"/>
        <w:snapToGrid w:val="0"/>
        <w:spacing w:line="580" w:lineRule="atLeast"/>
        <w:ind w:firstLine="640" w:firstLineChars="200"/>
        <w:rPr>
          <w:rFonts w:hint="eastAsia" w:ascii="仿宋_GB2312" w:hAnsi="仿宋_GB2312" w:eastAsia="仿宋_GB2312" w:cs="仿宋_GB2312"/>
          <w:color w:val="000000"/>
        </w:rPr>
      </w:pPr>
    </w:p>
    <w:sectPr>
      <w:headerReference r:id="rId3" w:type="default"/>
      <w:footerReference r:id="rId4" w:type="default"/>
      <w:pgSz w:w="11906" w:h="16838"/>
      <w:pgMar w:top="2154" w:right="1531" w:bottom="1814" w:left="1531" w:header="851" w:footer="1247" w:gutter="0"/>
      <w:paperSrc/>
      <w:pgNumType w:fmt="numberInDash" w:start="1"/>
      <w:cols w:space="0" w:num="1"/>
      <w:rtlGutter w:val="0"/>
      <w:docGrid w:type="lines" w:linePitch="57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方正大标宋简体">
    <w:altName w:val="微软雅黑"/>
    <w:panose1 w:val="02010601030101010101"/>
    <w:charset w:val="86"/>
    <w:family w:val="auto"/>
    <w:pitch w:val="default"/>
    <w:sig w:usb0="00000000" w:usb1="00000000" w:usb2="00000000" w:usb3="00000000" w:csb0="00040000" w:csb1="00000000"/>
  </w:font>
  <w:font w:name="方正隶书简体">
    <w:altName w:val="宋体"/>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pPr>
                            <w:pStyle w:val="4"/>
                            <w:tabs>
                              <w:tab w:val="left" w:pos="429"/>
                              <w:tab w:val="center" w:pos="910"/>
                            </w:tabs>
                            <w:adjustRightInd w:val="0"/>
                            <w:spacing w:line="240" w:lineRule="atLeast"/>
                            <w:ind w:left="210" w:leftChars="100" w:right="210" w:rightChars="100"/>
                          </w:pPr>
                          <w:r>
                            <w:rPr>
                              <w:rStyle w:val="8"/>
                              <w:rFonts w:ascii="宋体" w:hAnsi="宋体"/>
                              <w:sz w:val="28"/>
                              <w:szCs w:val="28"/>
                            </w:rPr>
                            <w:t xml:space="preserve"> </w:t>
                          </w:r>
                          <w:r>
                            <w:rPr>
                              <w:rStyle w:val="8"/>
                              <w:rFonts w:ascii="宋体" w:hAnsi="宋体"/>
                              <w:sz w:val="28"/>
                              <w:szCs w:val="28"/>
                            </w:rPr>
                            <w:fldChar w:fldCharType="begin"/>
                          </w:r>
                          <w:r>
                            <w:rPr>
                              <w:rStyle w:val="8"/>
                              <w:rFonts w:ascii="宋体" w:hAnsi="宋体"/>
                              <w:sz w:val="28"/>
                              <w:szCs w:val="28"/>
                            </w:rPr>
                            <w:instrText xml:space="preserve">PAGE  </w:instrText>
                          </w:r>
                          <w:r>
                            <w:rPr>
                              <w:rStyle w:val="8"/>
                              <w:rFonts w:ascii="宋体" w:hAnsi="宋体"/>
                              <w:sz w:val="28"/>
                              <w:szCs w:val="28"/>
                            </w:rPr>
                            <w:fldChar w:fldCharType="separate"/>
                          </w:r>
                          <w:r>
                            <w:rPr>
                              <w:rStyle w:val="8"/>
                              <w:rFonts w:ascii="宋体" w:hAnsi="宋体"/>
                              <w:sz w:val="28"/>
                              <w:szCs w:val="28"/>
                            </w:rPr>
                            <w:t>- 4 -</w:t>
                          </w:r>
                          <w:r>
                            <w:rPr>
                              <w:rStyle w:val="8"/>
                              <w:rFonts w:ascii="宋体" w:hAnsi="宋体"/>
                              <w:sz w:val="28"/>
                              <w:szCs w:val="28"/>
                            </w:rPr>
                            <w:fldChar w:fldCharType="end"/>
                          </w:r>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LNJWO7Q&#10;AAAABQEAAA8AAAAAAAAAAQAgAAAAIgAAAGRycy9kb3ducmV2LnhtbFBLAQIUABQAAAAIAIdO4kDI&#10;nqDCtgEAAFQDAAAOAAAAAAAAAAEAIAAAAB8BAABkcnMvZTJvRG9jLnhtbFBLBQYAAAAABgAGAFkB&#10;AABHBQAAAAA=&#10;">
              <v:fill on="f" focussize="0,0"/>
              <v:stroke on="f" weight="0.5pt"/>
              <v:imagedata o:title=""/>
              <o:lock v:ext="edit" aspectratio="f"/>
              <v:textbox inset="0mm,0mm,0mm,0mm" style="mso-fit-shape-to-text:t;">
                <w:txbxContent>
                  <w:p>
                    <w:pPr>
                      <w:pStyle w:val="4"/>
                      <w:tabs>
                        <w:tab w:val="left" w:pos="429"/>
                        <w:tab w:val="center" w:pos="910"/>
                      </w:tabs>
                      <w:adjustRightInd w:val="0"/>
                      <w:spacing w:line="240" w:lineRule="atLeast"/>
                      <w:ind w:left="210" w:leftChars="100" w:right="210" w:rightChars="100"/>
                    </w:pPr>
                    <w:r>
                      <w:rPr>
                        <w:rStyle w:val="8"/>
                        <w:rFonts w:ascii="宋体" w:hAnsi="宋体"/>
                        <w:sz w:val="28"/>
                        <w:szCs w:val="28"/>
                      </w:rPr>
                      <w:t xml:space="preserve"> </w:t>
                    </w:r>
                    <w:r>
                      <w:rPr>
                        <w:rStyle w:val="8"/>
                        <w:rFonts w:ascii="宋体" w:hAnsi="宋体"/>
                        <w:sz w:val="28"/>
                        <w:szCs w:val="28"/>
                      </w:rPr>
                      <w:fldChar w:fldCharType="begin"/>
                    </w:r>
                    <w:r>
                      <w:rPr>
                        <w:rStyle w:val="8"/>
                        <w:rFonts w:ascii="宋体" w:hAnsi="宋体"/>
                        <w:sz w:val="28"/>
                        <w:szCs w:val="28"/>
                      </w:rPr>
                      <w:instrText xml:space="preserve">PAGE  </w:instrText>
                    </w:r>
                    <w:r>
                      <w:rPr>
                        <w:rStyle w:val="8"/>
                        <w:rFonts w:ascii="宋体" w:hAnsi="宋体"/>
                        <w:sz w:val="28"/>
                        <w:szCs w:val="28"/>
                      </w:rPr>
                      <w:fldChar w:fldCharType="separate"/>
                    </w:r>
                    <w:r>
                      <w:rPr>
                        <w:rStyle w:val="8"/>
                        <w:rFonts w:ascii="宋体" w:hAnsi="宋体"/>
                        <w:sz w:val="28"/>
                        <w:szCs w:val="28"/>
                      </w:rPr>
                      <w:t>- 4 -</w:t>
                    </w:r>
                    <w:r>
                      <w:rPr>
                        <w:rStyle w:val="8"/>
                        <w:rFonts w:ascii="宋体" w:hAnsi="宋体"/>
                        <w:sz w:val="28"/>
                        <w:szCs w:val="2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HorizontalSpacing w:val="160"/>
  <w:drawingGridVerticalSpacing w:val="287"/>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D56"/>
    <w:rsid w:val="0000084A"/>
    <w:rsid w:val="0000672D"/>
    <w:rsid w:val="00007604"/>
    <w:rsid w:val="00016972"/>
    <w:rsid w:val="000318F4"/>
    <w:rsid w:val="0003313B"/>
    <w:rsid w:val="00060D3C"/>
    <w:rsid w:val="00074C56"/>
    <w:rsid w:val="000A40E6"/>
    <w:rsid w:val="000A66EB"/>
    <w:rsid w:val="000E5CF1"/>
    <w:rsid w:val="000E5E8E"/>
    <w:rsid w:val="00112D42"/>
    <w:rsid w:val="00120AAF"/>
    <w:rsid w:val="001359EF"/>
    <w:rsid w:val="001525B2"/>
    <w:rsid w:val="00165F0C"/>
    <w:rsid w:val="001807BF"/>
    <w:rsid w:val="00192957"/>
    <w:rsid w:val="0019670D"/>
    <w:rsid w:val="0020521D"/>
    <w:rsid w:val="00223664"/>
    <w:rsid w:val="00236436"/>
    <w:rsid w:val="00245F9C"/>
    <w:rsid w:val="00253FC2"/>
    <w:rsid w:val="002714DA"/>
    <w:rsid w:val="002E75C3"/>
    <w:rsid w:val="00305E9B"/>
    <w:rsid w:val="003115AB"/>
    <w:rsid w:val="00320A77"/>
    <w:rsid w:val="003353C1"/>
    <w:rsid w:val="00337963"/>
    <w:rsid w:val="0034388A"/>
    <w:rsid w:val="00343F66"/>
    <w:rsid w:val="0038336A"/>
    <w:rsid w:val="003B79D1"/>
    <w:rsid w:val="003C0DC3"/>
    <w:rsid w:val="003D5AA4"/>
    <w:rsid w:val="003F7382"/>
    <w:rsid w:val="00407968"/>
    <w:rsid w:val="0041260D"/>
    <w:rsid w:val="00430ECF"/>
    <w:rsid w:val="0044387C"/>
    <w:rsid w:val="00446D56"/>
    <w:rsid w:val="0047748B"/>
    <w:rsid w:val="004A5548"/>
    <w:rsid w:val="004B2C81"/>
    <w:rsid w:val="004C5DD7"/>
    <w:rsid w:val="004E3C95"/>
    <w:rsid w:val="004F4844"/>
    <w:rsid w:val="00513DC4"/>
    <w:rsid w:val="00514A87"/>
    <w:rsid w:val="005456E1"/>
    <w:rsid w:val="005822BA"/>
    <w:rsid w:val="00595D20"/>
    <w:rsid w:val="005D167A"/>
    <w:rsid w:val="006154A5"/>
    <w:rsid w:val="006421F8"/>
    <w:rsid w:val="006523FD"/>
    <w:rsid w:val="00677F42"/>
    <w:rsid w:val="00692DE6"/>
    <w:rsid w:val="006A3312"/>
    <w:rsid w:val="006B797D"/>
    <w:rsid w:val="007538A7"/>
    <w:rsid w:val="00754732"/>
    <w:rsid w:val="0075603C"/>
    <w:rsid w:val="007806CE"/>
    <w:rsid w:val="007868A2"/>
    <w:rsid w:val="007942AB"/>
    <w:rsid w:val="007B0A1C"/>
    <w:rsid w:val="007F6D1D"/>
    <w:rsid w:val="00824BBB"/>
    <w:rsid w:val="00842E8B"/>
    <w:rsid w:val="00854ABE"/>
    <w:rsid w:val="00876A0E"/>
    <w:rsid w:val="008A2476"/>
    <w:rsid w:val="008D7EDC"/>
    <w:rsid w:val="008E0DA3"/>
    <w:rsid w:val="008F0F30"/>
    <w:rsid w:val="00906517"/>
    <w:rsid w:val="00915BDC"/>
    <w:rsid w:val="00943686"/>
    <w:rsid w:val="0094466B"/>
    <w:rsid w:val="009527D2"/>
    <w:rsid w:val="009629C9"/>
    <w:rsid w:val="00990BB9"/>
    <w:rsid w:val="00994AA9"/>
    <w:rsid w:val="009D03E9"/>
    <w:rsid w:val="00A12BD1"/>
    <w:rsid w:val="00A12D88"/>
    <w:rsid w:val="00A50FB0"/>
    <w:rsid w:val="00A72088"/>
    <w:rsid w:val="00AA0C33"/>
    <w:rsid w:val="00AA56A8"/>
    <w:rsid w:val="00AB0FCE"/>
    <w:rsid w:val="00AC0543"/>
    <w:rsid w:val="00AD0694"/>
    <w:rsid w:val="00B100D0"/>
    <w:rsid w:val="00B20543"/>
    <w:rsid w:val="00B46515"/>
    <w:rsid w:val="00B85B2D"/>
    <w:rsid w:val="00B94C0B"/>
    <w:rsid w:val="00BE4FFF"/>
    <w:rsid w:val="00BF2CA5"/>
    <w:rsid w:val="00C07C19"/>
    <w:rsid w:val="00C5695C"/>
    <w:rsid w:val="00C669EF"/>
    <w:rsid w:val="00C77194"/>
    <w:rsid w:val="00C77CED"/>
    <w:rsid w:val="00CD58E1"/>
    <w:rsid w:val="00CF32C3"/>
    <w:rsid w:val="00CF3D1C"/>
    <w:rsid w:val="00D17A02"/>
    <w:rsid w:val="00D25003"/>
    <w:rsid w:val="00D3461B"/>
    <w:rsid w:val="00D41059"/>
    <w:rsid w:val="00D4753F"/>
    <w:rsid w:val="00D528A0"/>
    <w:rsid w:val="00D826AF"/>
    <w:rsid w:val="00D84ABF"/>
    <w:rsid w:val="00DB5C72"/>
    <w:rsid w:val="00DB642A"/>
    <w:rsid w:val="00DC306E"/>
    <w:rsid w:val="00DD059A"/>
    <w:rsid w:val="00DD267F"/>
    <w:rsid w:val="00E02394"/>
    <w:rsid w:val="00E21B36"/>
    <w:rsid w:val="00E21C11"/>
    <w:rsid w:val="00E44E63"/>
    <w:rsid w:val="00EA5FA1"/>
    <w:rsid w:val="00EC1074"/>
    <w:rsid w:val="00ED52D4"/>
    <w:rsid w:val="00EE7BDC"/>
    <w:rsid w:val="00EF738A"/>
    <w:rsid w:val="00F01D3D"/>
    <w:rsid w:val="00F15CC6"/>
    <w:rsid w:val="00F16634"/>
    <w:rsid w:val="00F333A8"/>
    <w:rsid w:val="00F53A0A"/>
    <w:rsid w:val="00F56387"/>
    <w:rsid w:val="00F60A11"/>
    <w:rsid w:val="00F95A79"/>
    <w:rsid w:val="00FD2BAB"/>
    <w:rsid w:val="00FD3AA3"/>
    <w:rsid w:val="00FD46D1"/>
    <w:rsid w:val="00FE5403"/>
    <w:rsid w:val="00FE57CC"/>
    <w:rsid w:val="00FF3879"/>
    <w:rsid w:val="03D1613B"/>
    <w:rsid w:val="0C565764"/>
    <w:rsid w:val="14920437"/>
    <w:rsid w:val="20CC179C"/>
    <w:rsid w:val="3D77721E"/>
    <w:rsid w:val="484B4C5B"/>
    <w:rsid w:val="4B187795"/>
    <w:rsid w:val="51B7763A"/>
    <w:rsid w:val="51CC1661"/>
    <w:rsid w:val="6DF632A9"/>
    <w:rsid w:val="71CA054D"/>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qFormat/>
    <w:uiPriority w:val="99"/>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Date"/>
    <w:basedOn w:val="1"/>
    <w:next w:val="1"/>
    <w:link w:val="11"/>
    <w:qFormat/>
    <w:uiPriority w:val="99"/>
    <w:pPr>
      <w:ind w:left="100" w:leftChars="2500"/>
    </w:pPr>
  </w:style>
  <w:style w:type="paragraph" w:styleId="3">
    <w:name w:val="Balloon Text"/>
    <w:basedOn w:val="1"/>
    <w:link w:val="12"/>
    <w:semiHidden/>
    <w:qFormat/>
    <w:uiPriority w:val="99"/>
    <w:rPr>
      <w:sz w:val="18"/>
      <w:szCs w:val="18"/>
    </w:rPr>
  </w:style>
  <w:style w:type="paragraph" w:styleId="4">
    <w:name w:val="footer"/>
    <w:basedOn w:val="1"/>
    <w:link w:val="13"/>
    <w:uiPriority w:val="99"/>
    <w:pPr>
      <w:tabs>
        <w:tab w:val="center" w:pos="4153"/>
        <w:tab w:val="right" w:pos="8306"/>
      </w:tabs>
      <w:snapToGrid w:val="0"/>
      <w:jc w:val="left"/>
    </w:pPr>
    <w:rPr>
      <w:sz w:val="18"/>
      <w:szCs w:val="18"/>
    </w:rPr>
  </w:style>
  <w:style w:type="paragraph" w:styleId="5">
    <w:name w:val="header"/>
    <w:basedOn w:val="1"/>
    <w:link w:val="14"/>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99"/>
    <w:pPr>
      <w:widowControl/>
      <w:spacing w:before="100" w:beforeAutospacing="1" w:after="100" w:afterAutospacing="1"/>
      <w:jc w:val="left"/>
    </w:pPr>
    <w:rPr>
      <w:rFonts w:ascii="宋体" w:hAnsi="宋体" w:cs="宋体"/>
      <w:kern w:val="0"/>
      <w:sz w:val="24"/>
    </w:rPr>
  </w:style>
  <w:style w:type="character" w:styleId="8">
    <w:name w:val="page number"/>
    <w:basedOn w:val="7"/>
    <w:qFormat/>
    <w:uiPriority w:val="99"/>
    <w:rPr>
      <w:rFonts w:cs="Times New Roman"/>
    </w:rPr>
  </w:style>
  <w:style w:type="table" w:styleId="10">
    <w:name w:val="Table Grid"/>
    <w:basedOn w:val="9"/>
    <w:uiPriority w:val="9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Date Char"/>
    <w:basedOn w:val="7"/>
    <w:link w:val="2"/>
    <w:semiHidden/>
    <w:uiPriority w:val="99"/>
    <w:rPr>
      <w:szCs w:val="24"/>
    </w:rPr>
  </w:style>
  <w:style w:type="character" w:customStyle="1" w:styleId="12">
    <w:name w:val="Balloon Text Char"/>
    <w:basedOn w:val="7"/>
    <w:link w:val="3"/>
    <w:semiHidden/>
    <w:uiPriority w:val="99"/>
    <w:rPr>
      <w:sz w:val="0"/>
      <w:szCs w:val="0"/>
    </w:rPr>
  </w:style>
  <w:style w:type="character" w:customStyle="1" w:styleId="13">
    <w:name w:val="Footer Char"/>
    <w:basedOn w:val="7"/>
    <w:link w:val="4"/>
    <w:semiHidden/>
    <w:qFormat/>
    <w:uiPriority w:val="99"/>
    <w:rPr>
      <w:sz w:val="18"/>
      <w:szCs w:val="18"/>
    </w:rPr>
  </w:style>
  <w:style w:type="character" w:customStyle="1" w:styleId="14">
    <w:name w:val="Header Char"/>
    <w:basedOn w:val="7"/>
    <w:link w:val="5"/>
    <w:semiHidden/>
    <w:qFormat/>
    <w:uiPriority w:val="99"/>
    <w:rPr>
      <w:sz w:val="18"/>
      <w:szCs w:val="18"/>
    </w:rPr>
  </w:style>
  <w:style w:type="paragraph" w:customStyle="1" w:styleId="15">
    <w:name w:val="列出段落1"/>
    <w:basedOn w:val="1"/>
    <w:uiPriority w:val="99"/>
    <w:pPr>
      <w:ind w:firstLine="420" w:firstLineChars="200"/>
    </w:pPr>
  </w:style>
  <w:style w:type="paragraph" w:customStyle="1" w:styleId="16">
    <w:name w:val="txt"/>
    <w:basedOn w:val="1"/>
    <w:uiPriority w:val="99"/>
    <w:pPr>
      <w:widowControl/>
      <w:spacing w:before="100" w:beforeAutospacing="1" w:after="100" w:afterAutospacing="1"/>
      <w:jc w:val="left"/>
    </w:pPr>
    <w:rPr>
      <w:rFonts w:ascii="宋体" w:hAnsi="宋体" w:cs="宋体"/>
      <w:kern w:val="0"/>
      <w:sz w:val="24"/>
    </w:rPr>
  </w:style>
  <w:style w:type="paragraph" w:customStyle="1" w:styleId="17">
    <w:name w:val="List Paragraph1"/>
    <w:basedOn w:val="1"/>
    <w:qFormat/>
    <w:uiPriority w:val="0"/>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China</Company>
  <Pages>15</Pages>
  <Words>1014</Words>
  <Characters>5786</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2017-02-22T07:46:00Z</dcterms:created>
  <dc:creator>李美</dc:creator>
  <cp:lastModifiedBy>Administrator</cp:lastModifiedBy>
  <cp:lastPrinted>2016-12-07T01:52:00Z</cp:lastPrinted>
  <dcterms:modified xsi:type="dcterms:W3CDTF">2017-02-24T02:03:40Z</dcterms:modified>
  <dc:title>中国共产党湘潭市人大常委会党组文件</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