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ordWrap/>
        <w:overflowPunct/>
        <w:topLinePunct w:val="0"/>
        <w:autoSpaceDE/>
        <w:autoSpaceDN/>
        <w:bidi w:val="0"/>
        <w:adjustRightInd w:val="0"/>
        <w:snapToGrid w:val="0"/>
        <w:spacing w:line="580" w:lineRule="atLeast"/>
        <w:jc w:val="center"/>
        <w:textAlignment w:val="auto"/>
        <w:outlineLvl w:val="9"/>
        <w:rPr>
          <w:rFonts w:hint="eastAsia" w:ascii="宋体" w:hAnsi="宋体" w:eastAsia="宋体" w:cs="宋体"/>
          <w:color w:val="000000"/>
          <w:sz w:val="32"/>
          <w:szCs w:val="32"/>
          <w:highlight w:val="none"/>
        </w:rPr>
      </w:pPr>
    </w:p>
    <w:p>
      <w:pPr>
        <w:keepNext w:val="0"/>
        <w:keepLines w:val="0"/>
        <w:pageBreakBefore w:val="0"/>
        <w:wordWrap/>
        <w:overflowPunct/>
        <w:topLinePunct w:val="0"/>
        <w:autoSpaceDE/>
        <w:autoSpaceDN/>
        <w:bidi w:val="0"/>
        <w:adjustRightInd w:val="0"/>
        <w:snapToGrid w:val="0"/>
        <w:spacing w:line="580" w:lineRule="atLeast"/>
        <w:jc w:val="center"/>
        <w:textAlignment w:val="auto"/>
        <w:outlineLvl w:val="9"/>
        <w:rPr>
          <w:rFonts w:hint="eastAsia" w:ascii="宋体" w:hAnsi="宋体" w:eastAsia="宋体" w:cs="宋体"/>
          <w:color w:val="000000"/>
          <w:sz w:val="32"/>
          <w:szCs w:val="32"/>
          <w:highlight w:val="none"/>
        </w:rPr>
      </w:pPr>
    </w:p>
    <w:p>
      <w:pPr>
        <w:keepNext w:val="0"/>
        <w:keepLines w:val="0"/>
        <w:pageBreakBefore w:val="0"/>
        <w:wordWrap/>
        <w:overflowPunct/>
        <w:topLinePunct w:val="0"/>
        <w:autoSpaceDE/>
        <w:autoSpaceDN/>
        <w:bidi w:val="0"/>
        <w:adjustRightInd w:val="0"/>
        <w:snapToGrid w:val="0"/>
        <w:spacing w:line="580" w:lineRule="atLeast"/>
        <w:jc w:val="center"/>
        <w:textAlignment w:val="auto"/>
        <w:outlineLvl w:val="9"/>
        <w:rPr>
          <w:rFonts w:hint="eastAsia" w:ascii="楷体_GB2312" w:hAnsi="楷体_GB2312" w:eastAsia="楷体_GB2312" w:cs="楷体_GB2312"/>
          <w:b w:val="0"/>
          <w:bCs w:val="0"/>
          <w:color w:val="000000"/>
          <w:sz w:val="10"/>
          <w:szCs w:val="10"/>
          <w:highlight w:val="none"/>
          <w:lang w:eastAsia="zh-CN"/>
        </w:rPr>
      </w:pPr>
      <w:r>
        <w:rPr>
          <w:rFonts w:hint="eastAsia" w:ascii="宋体" w:hAnsi="宋体" w:eastAsia="宋体" w:cs="宋体"/>
          <w:color w:val="000000"/>
          <w:sz w:val="44"/>
          <w:szCs w:val="44"/>
          <w:highlight w:val="none"/>
        </w:rPr>
        <w:t>永州市城市市容和环境卫生管理条例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楷体_GB2312" w:hAnsi="楷体_GB2312" w:eastAsia="楷体_GB2312" w:cs="楷体_GB2312"/>
          <w:b w:val="0"/>
          <w:bCs w:val="0"/>
          <w:color w:val="000000"/>
          <w:sz w:val="32"/>
          <w:szCs w:val="32"/>
          <w:highlight w:val="none"/>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楷体_GB2312" w:hAnsi="楷体_GB2312" w:eastAsia="楷体_GB2312" w:cs="楷体_GB2312"/>
          <w:b w:val="0"/>
          <w:bCs w:val="0"/>
          <w:color w:val="000000"/>
          <w:sz w:val="32"/>
          <w:szCs w:val="32"/>
          <w:highlight w:val="none"/>
        </w:rPr>
      </w:pPr>
      <w:r>
        <w:rPr>
          <w:rFonts w:hint="eastAsia" w:ascii="楷体_GB2312" w:hAnsi="楷体_GB2312" w:eastAsia="楷体_GB2312" w:cs="楷体_GB2312"/>
          <w:b w:val="0"/>
          <w:bCs w:val="0"/>
          <w:color w:val="000000"/>
          <w:sz w:val="32"/>
          <w:szCs w:val="32"/>
          <w:highlight w:val="none"/>
        </w:rPr>
        <w:t>（2017年10月27日永州市第五届人民代表大会常务委员会第七次会议通过</w:t>
      </w:r>
      <w:r>
        <w:rPr>
          <w:rFonts w:hint="eastAsia" w:ascii="楷体_GB2312" w:hAnsi="楷体_GB2312" w:eastAsia="楷体_GB2312" w:cs="楷体_GB2312"/>
          <w:b w:val="0"/>
          <w:bCs w:val="0"/>
          <w:color w:val="000000"/>
          <w:sz w:val="32"/>
          <w:szCs w:val="32"/>
          <w:highlight w:val="none"/>
          <w:lang w:val="en-US" w:eastAsia="zh-CN"/>
        </w:rPr>
        <w:t xml:space="preserve">  2017年11月30日</w:t>
      </w:r>
      <w:r>
        <w:rPr>
          <w:rFonts w:hint="eastAsia" w:ascii="楷体_GB2312" w:hAnsi="楷体_GB2312" w:eastAsia="楷体_GB2312" w:cs="楷体_GB2312"/>
          <w:b w:val="0"/>
          <w:bCs w:val="0"/>
          <w:color w:val="000000"/>
          <w:sz w:val="32"/>
          <w:szCs w:val="32"/>
          <w:highlight w:val="none"/>
        </w:rPr>
        <w:t>湖南省第十二届人民代表大会常务委员会</w:t>
      </w:r>
      <w:r>
        <w:rPr>
          <w:rFonts w:hint="eastAsia" w:ascii="楷体_GB2312" w:hAnsi="楷体_GB2312" w:eastAsia="楷体_GB2312" w:cs="楷体_GB2312"/>
          <w:b w:val="0"/>
          <w:bCs w:val="0"/>
          <w:color w:val="000000"/>
          <w:sz w:val="32"/>
          <w:szCs w:val="32"/>
          <w:highlight w:val="none"/>
          <w:lang w:eastAsia="zh-CN"/>
        </w:rPr>
        <w:t>第三十三次会议</w:t>
      </w:r>
      <w:r>
        <w:rPr>
          <w:rFonts w:hint="eastAsia" w:ascii="楷体_GB2312" w:hAnsi="楷体_GB2312" w:eastAsia="楷体_GB2312" w:cs="楷体_GB2312"/>
          <w:b w:val="0"/>
          <w:bCs w:val="0"/>
          <w:color w:val="000000"/>
          <w:sz w:val="32"/>
          <w:szCs w:val="32"/>
          <w:highlight w:val="none"/>
        </w:rPr>
        <w:t>批准）</w:t>
      </w:r>
    </w:p>
    <w:p>
      <w:pPr>
        <w:keepNext w:val="0"/>
        <w:keepLines w:val="0"/>
        <w:pageBreakBefore w:val="0"/>
        <w:wordWrap/>
        <w:overflowPunct/>
        <w:topLinePunct w:val="0"/>
        <w:autoSpaceDE/>
        <w:autoSpaceDN/>
        <w:bidi w:val="0"/>
        <w:adjustRightInd w:val="0"/>
        <w:snapToGrid w:val="0"/>
        <w:spacing w:line="580" w:lineRule="atLeast"/>
        <w:jc w:val="center"/>
        <w:textAlignment w:val="auto"/>
        <w:outlineLvl w:val="9"/>
        <w:rPr>
          <w:rFonts w:hint="eastAsia" w:ascii="宋体" w:hAnsi="宋体" w:eastAsia="宋体" w:cs="宋体"/>
          <w:bCs/>
          <w:color w:val="000000"/>
          <w:sz w:val="32"/>
          <w:szCs w:val="32"/>
          <w:highlight w:val="none"/>
        </w:rPr>
      </w:pPr>
    </w:p>
    <w:p>
      <w:pPr>
        <w:keepNext w:val="0"/>
        <w:keepLines w:val="0"/>
        <w:pageBreakBefore w:val="0"/>
        <w:wordWrap/>
        <w:overflowPunct/>
        <w:topLinePunct w:val="0"/>
        <w:autoSpaceDE/>
        <w:autoSpaceDN/>
        <w:bidi w:val="0"/>
        <w:adjustRightInd w:val="0"/>
        <w:snapToGrid w:val="0"/>
        <w:spacing w:line="580" w:lineRule="atLeast"/>
        <w:jc w:val="center"/>
        <w:textAlignment w:val="auto"/>
        <w:outlineLvl w:val="9"/>
        <w:rPr>
          <w:rFonts w:hint="eastAsia" w:ascii="宋体" w:hAnsi="宋体" w:eastAsia="宋体" w:cs="宋体"/>
          <w:bCs/>
          <w:color w:val="000000"/>
          <w:sz w:val="32"/>
          <w:szCs w:val="32"/>
          <w:highlight w:val="none"/>
        </w:rPr>
      </w:pPr>
    </w:p>
    <w:p>
      <w:pPr>
        <w:keepNext w:val="0"/>
        <w:keepLines w:val="0"/>
        <w:pageBreakBefore w:val="0"/>
        <w:wordWrap/>
        <w:overflowPunct/>
        <w:topLinePunct w:val="0"/>
        <w:autoSpaceDE/>
        <w:autoSpaceDN/>
        <w:bidi w:val="0"/>
        <w:adjustRightInd w:val="0"/>
        <w:snapToGrid w:val="0"/>
        <w:spacing w:line="580" w:lineRule="atLeast"/>
        <w:jc w:val="center"/>
        <w:textAlignment w:val="auto"/>
        <w:outlineLvl w:val="9"/>
        <w:rPr>
          <w:rFonts w:hint="eastAsia" w:ascii="黑体" w:eastAsia="黑体"/>
          <w:bCs/>
          <w:color w:val="000000"/>
          <w:sz w:val="32"/>
          <w:szCs w:val="32"/>
          <w:highlight w:val="none"/>
        </w:rPr>
      </w:pPr>
      <w:r>
        <w:rPr>
          <w:rFonts w:hint="eastAsia" w:ascii="黑体" w:eastAsia="黑体"/>
          <w:bCs/>
          <w:color w:val="000000"/>
          <w:sz w:val="32"/>
          <w:szCs w:val="32"/>
          <w:highlight w:val="none"/>
        </w:rPr>
        <w:t>第一章  总  则</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第一条</w:t>
      </w:r>
      <w:r>
        <w:rPr>
          <w:rFonts w:hint="eastAsia" w:ascii="黑体" w:hAnsi="黑体" w:eastAsia="黑体" w:cs="黑体"/>
          <w:bCs/>
          <w:color w:val="000000"/>
          <w:kern w:val="0"/>
          <w:sz w:val="32"/>
          <w:szCs w:val="32"/>
          <w:highlight w:val="none"/>
          <w:lang w:val="en-US" w:eastAsia="zh-CN"/>
        </w:rPr>
        <w:t xml:space="preserve">  </w:t>
      </w:r>
      <w:r>
        <w:rPr>
          <w:rFonts w:hint="eastAsia" w:ascii="仿宋_GB2312" w:hAnsi="仿宋" w:eastAsia="仿宋_GB2312"/>
          <w:bCs/>
          <w:color w:val="000000"/>
          <w:sz w:val="32"/>
          <w:szCs w:val="32"/>
          <w:highlight w:val="none"/>
        </w:rPr>
        <w:t>为加强城市市容和环境卫生管理，创造整洁、优美、宜居的城市环境，根据国务院《城市市容和环境卫生管理条例》、《湖南省城市综合管理条例》和其他有关法律法规，结合本市实际，制定本条例。</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第二条</w:t>
      </w:r>
      <w:r>
        <w:rPr>
          <w:rFonts w:hint="eastAsia" w:ascii="仿宋_GB2312" w:hAnsi="仿宋" w:eastAsia="仿宋_GB2312" w:cs="宋体"/>
          <w:bCs/>
          <w:color w:val="000000"/>
          <w:kern w:val="0"/>
          <w:sz w:val="32"/>
          <w:szCs w:val="32"/>
          <w:highlight w:val="none"/>
          <w:lang w:val="en-US" w:eastAsia="zh-CN"/>
        </w:rPr>
        <w:t xml:space="preserve">  </w:t>
      </w:r>
      <w:r>
        <w:rPr>
          <w:rFonts w:hint="eastAsia" w:ascii="仿宋_GB2312" w:hAnsi="仿宋" w:eastAsia="仿宋_GB2312"/>
          <w:bCs/>
          <w:color w:val="000000"/>
          <w:sz w:val="32"/>
          <w:szCs w:val="32"/>
          <w:highlight w:val="none"/>
        </w:rPr>
        <w:t>本条例适用于本市行政区域内的城市建成区以及县级以上人民政府划定并公布的其他实行城市化管理的区域。</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第三条</w:t>
      </w:r>
      <w:r>
        <w:rPr>
          <w:rFonts w:hint="eastAsia" w:ascii="仿宋_GB2312" w:hAnsi="仿宋" w:eastAsia="仿宋_GB2312" w:cs="宋体"/>
          <w:bCs/>
          <w:color w:val="000000"/>
          <w:kern w:val="0"/>
          <w:sz w:val="32"/>
          <w:szCs w:val="32"/>
          <w:highlight w:val="none"/>
          <w:lang w:val="en-US" w:eastAsia="zh-CN"/>
        </w:rPr>
        <w:t xml:space="preserve">  </w:t>
      </w:r>
      <w:r>
        <w:rPr>
          <w:rFonts w:hint="eastAsia" w:ascii="仿宋_GB2312" w:hAnsi="仿宋" w:eastAsia="仿宋_GB2312"/>
          <w:bCs/>
          <w:color w:val="000000"/>
          <w:sz w:val="32"/>
          <w:szCs w:val="32"/>
          <w:highlight w:val="none"/>
        </w:rPr>
        <w:t>市容和环境卫生管理工作坚持以人为本、统一领导、分区负责、公众参与、社会监督的原则。</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_GB2312" w:eastAsia="仿宋_GB2312" w:cs="仿宋_GB2312"/>
          <w:bCs/>
          <w:color w:val="000000"/>
          <w:sz w:val="32"/>
          <w:szCs w:val="32"/>
          <w:highlight w:val="none"/>
        </w:rPr>
      </w:pPr>
      <w:r>
        <w:rPr>
          <w:rFonts w:hint="eastAsia" w:ascii="黑体" w:hAnsi="黑体" w:eastAsia="黑体" w:cs="黑体"/>
          <w:bCs/>
          <w:color w:val="000000"/>
          <w:kern w:val="0"/>
          <w:sz w:val="32"/>
          <w:szCs w:val="32"/>
          <w:highlight w:val="none"/>
        </w:rPr>
        <w:t>第四条</w:t>
      </w:r>
      <w:r>
        <w:rPr>
          <w:rFonts w:hint="eastAsia" w:ascii="仿宋_GB2312" w:hAnsi="仿宋" w:eastAsia="仿宋_GB2312" w:cs="宋体"/>
          <w:bCs/>
          <w:color w:val="000000"/>
          <w:kern w:val="0"/>
          <w:sz w:val="32"/>
          <w:szCs w:val="32"/>
          <w:highlight w:val="none"/>
          <w:lang w:val="en-US" w:eastAsia="zh-CN"/>
        </w:rPr>
        <w:t xml:space="preserve">  </w:t>
      </w:r>
      <w:r>
        <w:rPr>
          <w:rFonts w:hint="eastAsia" w:ascii="仿宋_GB2312" w:hAnsi="仿宋_GB2312" w:eastAsia="仿宋_GB2312" w:cs="仿宋_GB2312"/>
          <w:bCs/>
          <w:color w:val="000000"/>
          <w:sz w:val="32"/>
          <w:szCs w:val="32"/>
          <w:highlight w:val="none"/>
        </w:rPr>
        <w:t>市、县（</w:t>
      </w:r>
      <w:r>
        <w:rPr>
          <w:rFonts w:hint="eastAsia" w:ascii="仿宋_GB2312" w:hAnsi="仿宋" w:eastAsia="仿宋_GB2312"/>
          <w:bCs/>
          <w:color w:val="000000"/>
          <w:sz w:val="32"/>
          <w:szCs w:val="32"/>
          <w:highlight w:val="none"/>
        </w:rPr>
        <w:t>区）人民政府应当加</w:t>
      </w:r>
      <w:r>
        <w:rPr>
          <w:rFonts w:hint="eastAsia" w:ascii="仿宋_GB2312" w:hAnsi="仿宋_GB2312" w:eastAsia="仿宋_GB2312" w:cs="仿宋_GB2312"/>
          <w:bCs/>
          <w:color w:val="000000"/>
          <w:sz w:val="32"/>
          <w:szCs w:val="32"/>
          <w:highlight w:val="none"/>
        </w:rPr>
        <w:t>强对市容和环境卫生工作的领导，将市容和环境卫生事业纳入国民经济和社会发展规划，建立公共财政和社会资金多方参与的多元化投入保障机制。</w:t>
      </w:r>
      <w:bookmarkStart w:id="0" w:name="_GoBack"/>
      <w:bookmarkEnd w:id="0"/>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_GB2312" w:eastAsia="仿宋_GB2312" w:cs="仿宋_GB2312"/>
          <w:bCs/>
          <w:color w:val="000000"/>
          <w:sz w:val="32"/>
          <w:szCs w:val="32"/>
          <w:highlight w:val="none"/>
        </w:rPr>
      </w:pPr>
      <w:r>
        <w:rPr>
          <w:rFonts w:hint="eastAsia" w:ascii="仿宋_GB2312" w:hAnsi="仿宋_GB2312" w:eastAsia="仿宋_GB2312" w:cs="仿宋_GB2312"/>
          <w:bCs/>
          <w:color w:val="000000"/>
          <w:sz w:val="32"/>
          <w:szCs w:val="32"/>
          <w:highlight w:val="none"/>
        </w:rPr>
        <w:t>市、县（区</w:t>
      </w:r>
      <w:r>
        <w:rPr>
          <w:rFonts w:hint="eastAsia" w:ascii="仿宋_GB2312" w:hAnsi="仿宋" w:eastAsia="仿宋_GB2312"/>
          <w:bCs/>
          <w:color w:val="000000"/>
          <w:sz w:val="32"/>
          <w:szCs w:val="32"/>
          <w:highlight w:val="none"/>
        </w:rPr>
        <w:t>）人民政府可以采</w:t>
      </w:r>
      <w:r>
        <w:rPr>
          <w:rFonts w:hint="eastAsia" w:ascii="仿宋_GB2312" w:hAnsi="仿宋_GB2312" w:eastAsia="仿宋_GB2312" w:cs="仿宋_GB2312"/>
          <w:bCs/>
          <w:color w:val="000000"/>
          <w:sz w:val="32"/>
          <w:szCs w:val="32"/>
          <w:highlight w:val="none"/>
        </w:rPr>
        <w:t>取购买</w:t>
      </w:r>
      <w:r>
        <w:rPr>
          <w:rFonts w:hint="eastAsia" w:ascii="仿宋_GB2312" w:hAnsi="仿宋" w:eastAsia="仿宋_GB2312"/>
          <w:bCs/>
          <w:color w:val="000000"/>
          <w:sz w:val="32"/>
          <w:szCs w:val="32"/>
          <w:highlight w:val="none"/>
        </w:rPr>
        <w:t>服务或者特</w:t>
      </w:r>
      <w:r>
        <w:rPr>
          <w:rFonts w:hint="eastAsia" w:ascii="仿宋_GB2312" w:hAnsi="仿宋_GB2312" w:eastAsia="仿宋_GB2312" w:cs="仿宋_GB2312"/>
          <w:bCs/>
          <w:color w:val="000000"/>
          <w:sz w:val="32"/>
          <w:szCs w:val="32"/>
          <w:highlight w:val="none"/>
        </w:rPr>
        <w:t>许经营等方式，推进市容和环境卫生基础设施及经营管理的市场化运营。</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_GB2312" w:eastAsia="仿宋_GB2312" w:cs="仿宋_GB2312"/>
          <w:bCs/>
          <w:color w:val="000000"/>
          <w:sz w:val="32"/>
          <w:szCs w:val="32"/>
          <w:highlight w:val="none"/>
        </w:rPr>
      </w:pPr>
      <w:r>
        <w:rPr>
          <w:rFonts w:hint="eastAsia" w:ascii="黑体" w:hAnsi="黑体" w:eastAsia="黑体" w:cs="黑体"/>
          <w:bCs/>
          <w:color w:val="000000"/>
          <w:kern w:val="0"/>
          <w:sz w:val="32"/>
          <w:szCs w:val="32"/>
          <w:highlight w:val="none"/>
        </w:rPr>
        <w:t>第五条</w:t>
      </w:r>
      <w:r>
        <w:rPr>
          <w:rFonts w:hint="eastAsia" w:ascii="仿宋_GB2312" w:hAnsi="仿宋" w:eastAsia="仿宋_GB2312" w:cs="宋体"/>
          <w:bCs/>
          <w:color w:val="000000"/>
          <w:kern w:val="0"/>
          <w:sz w:val="32"/>
          <w:szCs w:val="32"/>
          <w:highlight w:val="none"/>
          <w:lang w:val="en-US" w:eastAsia="zh-CN"/>
        </w:rPr>
        <w:t xml:space="preserve">  </w:t>
      </w:r>
      <w:r>
        <w:rPr>
          <w:rFonts w:hint="eastAsia" w:ascii="仿宋_GB2312" w:hAnsi="仿宋_GB2312" w:eastAsia="仿宋_GB2312" w:cs="仿宋_GB2312"/>
          <w:bCs/>
          <w:color w:val="000000"/>
          <w:sz w:val="32"/>
          <w:szCs w:val="32"/>
          <w:highlight w:val="none"/>
        </w:rPr>
        <w:t>城</w:t>
      </w:r>
      <w:r>
        <w:rPr>
          <w:rFonts w:hint="eastAsia" w:ascii="仿宋_GB2312" w:hAnsi="仿宋" w:eastAsia="仿宋_GB2312"/>
          <w:bCs/>
          <w:color w:val="000000"/>
          <w:sz w:val="32"/>
          <w:szCs w:val="32"/>
          <w:highlight w:val="none"/>
        </w:rPr>
        <w:t>市人民政府城市管理和</w:t>
      </w:r>
      <w:r>
        <w:rPr>
          <w:rFonts w:hint="eastAsia" w:ascii="仿宋_GB2312" w:hAnsi="仿宋_GB2312" w:eastAsia="仿宋_GB2312" w:cs="仿宋_GB2312"/>
          <w:bCs/>
          <w:color w:val="000000"/>
          <w:sz w:val="32"/>
          <w:szCs w:val="32"/>
          <w:highlight w:val="none"/>
        </w:rPr>
        <w:t>综合执法部门(以下简称城市管理部门)负责本行政区域内市容和环境卫生管理工作。其他单位、部门按照各自职责，共同做好市容和环境卫生管理的有关工作。</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_GB2312" w:eastAsia="仿宋_GB2312" w:cs="仿宋_GB2312"/>
          <w:bCs/>
          <w:color w:val="000000"/>
          <w:sz w:val="32"/>
          <w:szCs w:val="32"/>
          <w:highlight w:val="none"/>
        </w:rPr>
      </w:pPr>
      <w:r>
        <w:rPr>
          <w:rFonts w:hint="eastAsia" w:ascii="仿宋_GB2312" w:hAnsi="仿宋_GB2312" w:eastAsia="仿宋_GB2312" w:cs="仿宋_GB2312"/>
          <w:bCs/>
          <w:color w:val="000000"/>
          <w:sz w:val="32"/>
          <w:szCs w:val="32"/>
          <w:highlight w:val="none"/>
        </w:rPr>
        <w:t>市</w:t>
      </w:r>
      <w:r>
        <w:rPr>
          <w:rFonts w:hint="eastAsia" w:ascii="仿宋_GB2312" w:hAnsi="仿宋" w:eastAsia="仿宋_GB2312"/>
          <w:bCs/>
          <w:color w:val="000000"/>
          <w:sz w:val="32"/>
          <w:szCs w:val="32"/>
          <w:highlight w:val="none"/>
        </w:rPr>
        <w:t>、县人民政府城乡规</w:t>
      </w:r>
      <w:r>
        <w:rPr>
          <w:rFonts w:hint="eastAsia" w:ascii="仿宋_GB2312" w:hAnsi="仿宋_GB2312" w:eastAsia="仿宋_GB2312" w:cs="仿宋_GB2312"/>
          <w:bCs/>
          <w:color w:val="000000"/>
          <w:sz w:val="32"/>
          <w:szCs w:val="32"/>
          <w:highlight w:val="none"/>
        </w:rPr>
        <w:t>划主管部门会同有关部门组织编制重要地段景观、市政设施、户外广告、公共停车场、农贸市场、环境卫生、特殊行业等专项规划，按规定报</w:t>
      </w:r>
      <w:r>
        <w:rPr>
          <w:rFonts w:hint="eastAsia" w:ascii="仿宋_GB2312" w:hAnsi="仿宋_GB2312" w:eastAsia="仿宋_GB2312" w:cs="仿宋_GB2312"/>
          <w:bCs/>
          <w:color w:val="000000"/>
          <w:sz w:val="32"/>
          <w:szCs w:val="32"/>
          <w:highlight w:val="none"/>
          <w:lang w:eastAsia="zh-CN"/>
        </w:rPr>
        <w:t>本级</w:t>
      </w:r>
      <w:r>
        <w:rPr>
          <w:rFonts w:hint="eastAsia" w:ascii="仿宋_GB2312" w:hAnsi="仿宋_GB2312" w:eastAsia="仿宋_GB2312" w:cs="仿宋_GB2312"/>
          <w:bCs/>
          <w:color w:val="000000"/>
          <w:sz w:val="32"/>
          <w:szCs w:val="32"/>
          <w:highlight w:val="none"/>
        </w:rPr>
        <w:t>人民政府审批。</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_GB2312" w:eastAsia="仿宋_GB2312" w:cs="仿宋_GB2312"/>
          <w:bCs/>
          <w:color w:val="000000"/>
          <w:sz w:val="32"/>
          <w:szCs w:val="32"/>
          <w:highlight w:val="none"/>
        </w:rPr>
      </w:pPr>
      <w:r>
        <w:rPr>
          <w:rFonts w:hint="eastAsia" w:ascii="仿宋_GB2312" w:hAnsi="仿宋_GB2312" w:eastAsia="仿宋_GB2312" w:cs="仿宋_GB2312"/>
          <w:bCs/>
          <w:color w:val="000000"/>
          <w:sz w:val="32"/>
          <w:szCs w:val="32"/>
          <w:highlight w:val="none"/>
        </w:rPr>
        <w:t>市城市管理部门应当制定城市容貌和环境卫生设施设置标准，按</w:t>
      </w:r>
      <w:r>
        <w:rPr>
          <w:rFonts w:hint="eastAsia" w:ascii="仿宋_GB2312" w:hAnsi="仿宋" w:eastAsia="仿宋_GB2312"/>
          <w:bCs/>
          <w:color w:val="000000"/>
          <w:sz w:val="32"/>
          <w:szCs w:val="32"/>
          <w:highlight w:val="none"/>
        </w:rPr>
        <w:t>规定报市人民政府审批</w:t>
      </w:r>
      <w:r>
        <w:rPr>
          <w:rFonts w:hint="eastAsia" w:ascii="仿宋_GB2312" w:hAnsi="仿宋_GB2312" w:eastAsia="仿宋_GB2312" w:cs="仿宋_GB2312"/>
          <w:bCs/>
          <w:color w:val="000000"/>
          <w:sz w:val="32"/>
          <w:szCs w:val="32"/>
          <w:highlight w:val="none"/>
        </w:rPr>
        <w:t>公布。</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_GB2312" w:eastAsia="仿宋_GB2312" w:cs="仿宋_GB2312"/>
          <w:bCs/>
          <w:color w:val="000000"/>
          <w:sz w:val="32"/>
          <w:szCs w:val="32"/>
          <w:highlight w:val="none"/>
        </w:rPr>
      </w:pPr>
      <w:r>
        <w:rPr>
          <w:rFonts w:hint="eastAsia" w:ascii="仿宋_GB2312" w:hAnsi="仿宋_GB2312" w:eastAsia="仿宋_GB2312" w:cs="仿宋_GB2312"/>
          <w:bCs/>
          <w:color w:val="000000"/>
          <w:sz w:val="32"/>
          <w:szCs w:val="32"/>
          <w:highlight w:val="none"/>
        </w:rPr>
        <w:t>本条例规定的行政处罚，由城市管理部门实施。</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cs="宋体"/>
          <w:bCs/>
          <w:color w:val="000000"/>
          <w:kern w:val="0"/>
          <w:sz w:val="32"/>
          <w:szCs w:val="32"/>
          <w:highlight w:val="none"/>
        </w:rPr>
      </w:pPr>
      <w:r>
        <w:rPr>
          <w:rFonts w:hint="eastAsia" w:ascii="黑体" w:hAnsi="黑体" w:eastAsia="黑体" w:cs="黑体"/>
          <w:bCs/>
          <w:color w:val="000000"/>
          <w:kern w:val="0"/>
          <w:sz w:val="32"/>
          <w:szCs w:val="32"/>
          <w:highlight w:val="none"/>
        </w:rPr>
        <w:t>第六条</w:t>
      </w:r>
      <w:r>
        <w:rPr>
          <w:rFonts w:hint="eastAsia" w:ascii="仿宋_GB2312" w:hAnsi="仿宋" w:eastAsia="仿宋_GB2312" w:cs="宋体"/>
          <w:bCs/>
          <w:color w:val="000000"/>
          <w:kern w:val="0"/>
          <w:sz w:val="32"/>
          <w:szCs w:val="32"/>
          <w:highlight w:val="none"/>
          <w:lang w:val="en-US" w:eastAsia="zh-CN"/>
        </w:rPr>
        <w:t xml:space="preserve">  </w:t>
      </w:r>
      <w:r>
        <w:rPr>
          <w:rFonts w:hint="eastAsia" w:ascii="仿宋_GB2312" w:hAnsi="仿宋_GB2312" w:eastAsia="仿宋_GB2312" w:cs="仿宋_GB2312"/>
          <w:bCs/>
          <w:color w:val="000000"/>
          <w:sz w:val="32"/>
          <w:szCs w:val="32"/>
          <w:highlight w:val="none"/>
        </w:rPr>
        <w:t>城市管理部门</w:t>
      </w:r>
      <w:r>
        <w:rPr>
          <w:rFonts w:hint="eastAsia" w:ascii="仿宋_GB2312" w:hAnsi="仿宋" w:eastAsia="仿宋_GB2312" w:cs="宋体"/>
          <w:bCs/>
          <w:color w:val="000000"/>
          <w:kern w:val="0"/>
          <w:sz w:val="32"/>
          <w:szCs w:val="32"/>
          <w:highlight w:val="none"/>
        </w:rPr>
        <w:t>应当建立健全各项制度，实行执法责任制和行政过错责任追究制，规范执法行为，坚持严格、规范、公正、文明执法。</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cs="宋体"/>
          <w:bCs/>
          <w:color w:val="000000"/>
          <w:kern w:val="0"/>
          <w:sz w:val="32"/>
          <w:szCs w:val="32"/>
          <w:highlight w:val="none"/>
        </w:rPr>
      </w:pPr>
      <w:r>
        <w:rPr>
          <w:rFonts w:hint="eastAsia" w:ascii="黑体" w:hAnsi="黑体" w:eastAsia="黑体" w:cs="黑体"/>
          <w:bCs/>
          <w:color w:val="000000"/>
          <w:kern w:val="0"/>
          <w:sz w:val="32"/>
          <w:szCs w:val="32"/>
          <w:highlight w:val="none"/>
        </w:rPr>
        <w:t>第七条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cs="宋体"/>
          <w:bCs/>
          <w:color w:val="000000"/>
          <w:kern w:val="0"/>
          <w:sz w:val="32"/>
          <w:szCs w:val="32"/>
          <w:highlight w:val="none"/>
        </w:rPr>
        <w:t>任何单位和个人有享受良好市容和环境卫生的权利，有维护市容整洁、保持环境卫生的义务，对破坏市容和环境卫生、损坏环境卫生设施的行为，有权进行劝阻、投诉和举报。</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cs="宋体"/>
          <w:bCs/>
          <w:color w:val="000000"/>
          <w:kern w:val="0"/>
          <w:sz w:val="32"/>
          <w:szCs w:val="32"/>
          <w:highlight w:val="none"/>
        </w:rPr>
      </w:pPr>
      <w:r>
        <w:rPr>
          <w:rFonts w:hint="eastAsia" w:ascii="仿宋_GB2312" w:hAnsi="仿宋_GB2312" w:eastAsia="仿宋_GB2312" w:cs="仿宋_GB2312"/>
          <w:bCs/>
          <w:color w:val="000000"/>
          <w:sz w:val="32"/>
          <w:szCs w:val="32"/>
          <w:highlight w:val="none"/>
        </w:rPr>
        <w:t>城市管理部门</w:t>
      </w:r>
      <w:r>
        <w:rPr>
          <w:rFonts w:hint="eastAsia" w:ascii="仿宋_GB2312" w:hAnsi="仿宋" w:eastAsia="仿宋_GB2312" w:cs="宋体"/>
          <w:bCs/>
          <w:color w:val="000000"/>
          <w:kern w:val="0"/>
          <w:sz w:val="32"/>
          <w:szCs w:val="32"/>
          <w:highlight w:val="none"/>
        </w:rPr>
        <w:t>可以在市民中聘请市容和环境卫生义务协管员，协助做好宣传教育和文明劝导的工作。</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cs="宋体"/>
          <w:bCs/>
          <w:color w:val="000000"/>
          <w:kern w:val="0"/>
          <w:sz w:val="32"/>
          <w:szCs w:val="32"/>
          <w:highlight w:val="none"/>
        </w:rPr>
      </w:pPr>
      <w:r>
        <w:rPr>
          <w:rFonts w:hint="eastAsia" w:ascii="仿宋_GB2312" w:hAnsi="仿宋" w:eastAsia="仿宋_GB2312" w:cs="宋体"/>
          <w:bCs/>
          <w:color w:val="000000"/>
          <w:kern w:val="0"/>
          <w:sz w:val="32"/>
          <w:szCs w:val="32"/>
          <w:highlight w:val="none"/>
        </w:rPr>
        <w:t>提倡社区居民委员会组织居民制定维护市容和环境卫生的公约，动员社会组织和居民积极参加市容和环境卫生治理工作，鼓励市容和环境卫生志愿行为、公益行动，共建整洁、优美、文明的宜居环境。</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cs="宋体"/>
          <w:bCs/>
          <w:color w:val="000000"/>
          <w:kern w:val="0"/>
          <w:sz w:val="32"/>
          <w:szCs w:val="32"/>
          <w:highlight w:val="none"/>
        </w:rPr>
      </w:pPr>
      <w:r>
        <w:rPr>
          <w:rFonts w:hint="eastAsia" w:ascii="仿宋_GB2312" w:hAnsi="仿宋" w:eastAsia="仿宋_GB2312" w:cs="宋体"/>
          <w:bCs/>
          <w:color w:val="000000"/>
          <w:kern w:val="0"/>
          <w:sz w:val="32"/>
          <w:szCs w:val="32"/>
          <w:highlight w:val="none"/>
        </w:rPr>
        <w:t>任何单位和个人应当尊重市容和环境卫生工作者及其劳动成果，不得妨碍其正常作业。</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_GB2312" w:eastAsia="仿宋_GB2312" w:cs="仿宋_GB2312"/>
          <w:bCs/>
          <w:color w:val="000000"/>
          <w:sz w:val="32"/>
          <w:szCs w:val="32"/>
          <w:highlight w:val="none"/>
        </w:rPr>
      </w:pPr>
      <w:r>
        <w:rPr>
          <w:rFonts w:hint="eastAsia" w:ascii="黑体" w:hAnsi="黑体" w:eastAsia="黑体" w:cs="黑体"/>
          <w:bCs/>
          <w:color w:val="000000"/>
          <w:kern w:val="0"/>
          <w:sz w:val="32"/>
          <w:szCs w:val="32"/>
          <w:highlight w:val="none"/>
        </w:rPr>
        <w:t>第八条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_GB2312" w:eastAsia="仿宋_GB2312" w:cs="仿宋_GB2312"/>
          <w:bCs/>
          <w:color w:val="000000"/>
          <w:sz w:val="32"/>
          <w:szCs w:val="32"/>
          <w:highlight w:val="none"/>
        </w:rPr>
        <w:t>城市人民政府及其市容和环境卫生工作相关部门，应当加强城市市容和环境卫生管理法律、法规和环境卫生知识的宣传教育，广播、电视、报刊和网络媒体等大众传播媒介应当进行市容和环境卫生方面的宣传，营造人人参与城市管理、人人爱护市容和环境卫生的氛围，增强市民自觉维护市容和环境卫生及文明秩序等方面的社会公德意识。</w:t>
      </w:r>
    </w:p>
    <w:p>
      <w:pPr>
        <w:keepNext w:val="0"/>
        <w:keepLines w:val="0"/>
        <w:pageBreakBefore w:val="0"/>
        <w:wordWrap/>
        <w:overflowPunct/>
        <w:topLinePunct w:val="0"/>
        <w:autoSpaceDE/>
        <w:autoSpaceDN/>
        <w:bidi w:val="0"/>
        <w:adjustRightInd w:val="0"/>
        <w:snapToGrid w:val="0"/>
        <w:spacing w:line="580" w:lineRule="atLeast"/>
        <w:ind w:firstLine="640" w:firstLineChars="200"/>
        <w:jc w:val="center"/>
        <w:textAlignment w:val="auto"/>
        <w:outlineLvl w:val="9"/>
        <w:rPr>
          <w:rFonts w:hint="eastAsia" w:ascii="黑体" w:hAnsi="黑体" w:eastAsia="黑体" w:cs="黑体"/>
          <w:bCs/>
          <w:color w:val="000000"/>
          <w:sz w:val="32"/>
          <w:szCs w:val="32"/>
          <w:highlight w:val="none"/>
        </w:rPr>
      </w:pPr>
    </w:p>
    <w:p>
      <w:pPr>
        <w:keepNext w:val="0"/>
        <w:keepLines w:val="0"/>
        <w:pageBreakBefore w:val="0"/>
        <w:wordWrap/>
        <w:overflowPunct/>
        <w:topLinePunct w:val="0"/>
        <w:autoSpaceDE/>
        <w:autoSpaceDN/>
        <w:bidi w:val="0"/>
        <w:adjustRightInd w:val="0"/>
        <w:snapToGrid w:val="0"/>
        <w:spacing w:line="580" w:lineRule="atLeast"/>
        <w:ind w:firstLine="640" w:firstLineChars="200"/>
        <w:jc w:val="center"/>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sz w:val="32"/>
          <w:szCs w:val="32"/>
          <w:highlight w:val="none"/>
        </w:rPr>
        <w:t>第二章  市容和环境卫生责任区</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第九条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市容和环境卫生实行责任区制度。市容和环境卫生责任区的责任人应当按照本条例规定，做好责任区内的市容和环境卫生工作。</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第十条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市容和环境卫生责任区由</w:t>
      </w:r>
      <w:r>
        <w:rPr>
          <w:rFonts w:hint="eastAsia" w:ascii="仿宋_GB2312" w:hAnsi="仿宋_GB2312" w:eastAsia="仿宋_GB2312" w:cs="仿宋_GB2312"/>
          <w:bCs/>
          <w:color w:val="000000"/>
          <w:sz w:val="32"/>
          <w:szCs w:val="32"/>
          <w:highlight w:val="none"/>
        </w:rPr>
        <w:t>城市管理部门</w:t>
      </w:r>
      <w:r>
        <w:rPr>
          <w:rFonts w:hint="eastAsia" w:ascii="仿宋_GB2312" w:hAnsi="仿宋" w:eastAsia="仿宋_GB2312"/>
          <w:bCs/>
          <w:color w:val="000000"/>
          <w:sz w:val="32"/>
          <w:szCs w:val="32"/>
          <w:highlight w:val="none"/>
        </w:rPr>
        <w:t>划定。责任区的责任人按照以下规定确定:</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（一）主次干道、桥梁、地下通道、背街小巷、公厕、公交站点、垃圾转运站（点）等公共区域的责任区，由市容和环境卫生管理单位负责；</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（二）机关、团体、企事业单位的责任区，各自负责；</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（三）实行物业管理的居住区的责任区，由物业管理单位负责；未实行物业管理的居住区的责任区，由社区居（村）委会</w:t>
      </w:r>
      <w:r>
        <w:rPr>
          <w:rFonts w:hint="eastAsia" w:ascii="仿宋_GB2312" w:hAnsi="仿宋" w:eastAsia="仿宋_GB2312"/>
          <w:bCs/>
          <w:color w:val="000000"/>
          <w:sz w:val="32"/>
          <w:szCs w:val="32"/>
          <w:highlight w:val="none"/>
          <w:lang w:eastAsia="zh-CN"/>
        </w:rPr>
        <w:t>或者</w:t>
      </w:r>
      <w:r>
        <w:rPr>
          <w:rFonts w:hint="eastAsia" w:ascii="仿宋_GB2312" w:hAnsi="仿宋" w:eastAsia="仿宋_GB2312"/>
          <w:bCs/>
          <w:color w:val="000000"/>
          <w:sz w:val="32"/>
          <w:szCs w:val="32"/>
          <w:highlight w:val="none"/>
        </w:rPr>
        <w:t>业主委员会负责；</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（四）酒店、饭店、宾馆、商场、超市、门店、集贸市场、展览展销场所（馆）、加油站等场所的责任区，由经营或者管理单位负责；</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（五）文化、体育、娱乐、公园、广场、公共绿地、机场、公路、铁路、车站、码头、停车场及其附属设施等公共场所的责任区，由经营或者管理单位负责；</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（六）消防、排水、防洪、供水、供电、供气、邮政、通信、公共交通、环卫、治安、标志标牌等公用设施的责任区，由经营或者管理单位负责；</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（七）河（溪）流、湖泊、水塘等城市水域及岸线的责任区，由环境卫生责任单位负责；</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（八）政府已储备征用的土地的责任区由国土资源部门负责；待建地的责任区由产权单位负责；施工工地的责任区由施工单位负责。</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所有权人和经营者之间对市容和环境卫生责任有约定的，从其约定。</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lang w:eastAsia="zh-CN"/>
        </w:rPr>
        <w:t>第一款</w:t>
      </w:r>
      <w:r>
        <w:rPr>
          <w:rFonts w:hint="eastAsia" w:ascii="仿宋_GB2312" w:hAnsi="仿宋" w:eastAsia="仿宋_GB2312"/>
          <w:bCs/>
          <w:color w:val="000000"/>
          <w:sz w:val="32"/>
          <w:szCs w:val="32"/>
          <w:highlight w:val="none"/>
        </w:rPr>
        <w:t>规定以外的应当纳入市容和环境卫生责任区范围的建(构)筑物或者其他设施、场所，由经营者负责；没有经营者的，由所有权人负责。责任区和责任人确定后，应当书面通知责任人。</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第十一条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 xml:space="preserve">责任人应当履行下列责任： </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（一）保持责任区内市容整洁，无乱摆设、堆放、搭建、张贴、涂刻等；</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（二）保持责任区内环境卫生整洁，无暴露垃圾、粪便、污水和引发病媒生物滋生的其他污染源；</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（三）保持责任区内环境卫生设施整洁、完好。</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市容和环境卫生责任区的责任人对责任区内违反市容和环境卫生管理规定的行为，有权予以制止、要求行为人清理，并可以向</w:t>
      </w:r>
      <w:r>
        <w:rPr>
          <w:rFonts w:hint="eastAsia" w:ascii="仿宋_GB2312" w:hAnsi="仿宋_GB2312" w:eastAsia="仿宋_GB2312" w:cs="仿宋_GB2312"/>
          <w:bCs/>
          <w:color w:val="000000"/>
          <w:sz w:val="32"/>
          <w:szCs w:val="32"/>
          <w:highlight w:val="none"/>
        </w:rPr>
        <w:t>城市管理部门</w:t>
      </w:r>
      <w:r>
        <w:rPr>
          <w:rFonts w:hint="eastAsia" w:ascii="仿宋_GB2312" w:hAnsi="仿宋" w:eastAsia="仿宋_GB2312"/>
          <w:bCs/>
          <w:color w:val="000000"/>
          <w:sz w:val="32"/>
          <w:szCs w:val="32"/>
          <w:highlight w:val="none"/>
        </w:rPr>
        <w:t>举报。</w:t>
      </w:r>
      <w:r>
        <w:rPr>
          <w:rFonts w:hint="eastAsia" w:ascii="仿宋_GB2312" w:hAnsi="仿宋_GB2312" w:eastAsia="仿宋_GB2312" w:cs="仿宋_GB2312"/>
          <w:bCs/>
          <w:color w:val="000000"/>
          <w:sz w:val="32"/>
          <w:szCs w:val="32"/>
          <w:highlight w:val="none"/>
        </w:rPr>
        <w:t>城市管理部门</w:t>
      </w:r>
      <w:r>
        <w:rPr>
          <w:rFonts w:hint="eastAsia" w:ascii="仿宋_GB2312" w:hAnsi="仿宋" w:eastAsia="仿宋_GB2312"/>
          <w:bCs/>
          <w:color w:val="000000"/>
          <w:sz w:val="32"/>
          <w:szCs w:val="32"/>
          <w:highlight w:val="none"/>
        </w:rPr>
        <w:t>在接到举报后，应当及时处理。</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p>
    <w:p>
      <w:pPr>
        <w:keepNext w:val="0"/>
        <w:keepLines w:val="0"/>
        <w:pageBreakBefore w:val="0"/>
        <w:wordWrap/>
        <w:overflowPunct/>
        <w:topLinePunct w:val="0"/>
        <w:autoSpaceDE/>
        <w:autoSpaceDN/>
        <w:bidi w:val="0"/>
        <w:adjustRightInd w:val="0"/>
        <w:snapToGrid w:val="0"/>
        <w:spacing w:line="580" w:lineRule="atLeast"/>
        <w:jc w:val="center"/>
        <w:textAlignment w:val="auto"/>
        <w:outlineLvl w:val="9"/>
        <w:rPr>
          <w:rFonts w:hint="eastAsia" w:ascii="黑体" w:hAnsi="黑体" w:eastAsia="黑体"/>
          <w:bCs/>
          <w:color w:val="000000"/>
          <w:sz w:val="32"/>
          <w:szCs w:val="32"/>
          <w:highlight w:val="none"/>
        </w:rPr>
      </w:pPr>
      <w:r>
        <w:rPr>
          <w:rFonts w:hint="eastAsia" w:ascii="黑体" w:hAnsi="黑体" w:eastAsia="黑体"/>
          <w:bCs/>
          <w:color w:val="000000"/>
          <w:sz w:val="32"/>
          <w:szCs w:val="32"/>
          <w:highlight w:val="none"/>
        </w:rPr>
        <w:t>第三章</w:t>
      </w:r>
      <w:r>
        <w:rPr>
          <w:rFonts w:hint="eastAsia" w:ascii="黑体" w:hAnsi="黑体" w:eastAsia="黑体"/>
          <w:bCs/>
          <w:color w:val="000000"/>
          <w:sz w:val="32"/>
          <w:szCs w:val="32"/>
          <w:highlight w:val="none"/>
          <w:lang w:val="en-US" w:eastAsia="zh-CN"/>
        </w:rPr>
        <w:t xml:space="preserve">  </w:t>
      </w:r>
      <w:r>
        <w:rPr>
          <w:rFonts w:hint="eastAsia" w:ascii="黑体" w:hAnsi="黑体" w:eastAsia="黑体"/>
          <w:bCs/>
          <w:color w:val="000000"/>
          <w:sz w:val="32"/>
          <w:szCs w:val="32"/>
          <w:highlight w:val="none"/>
        </w:rPr>
        <w:t>市容管理</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第十二条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建（构）筑物应当符合城乡规划和城市容貌标准。</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在主要街道和重点区域的临街建筑物外立面装饰装修或者安装空调外机、防盗网等设施设备，建筑物的所有权人、使用人应当统一规范设置,符合城市容貌标准。</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主要街道和重点区域临街建（构）筑物的外立面、屋顶、阳台外、窗外、平台、外走廊，不得堆放、悬挂、晾晒有碍市容的物品。</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主要街道和重点区域的范围，由市、县人民政府</w:t>
      </w:r>
      <w:r>
        <w:rPr>
          <w:rFonts w:hint="eastAsia" w:ascii="仿宋_GB2312" w:hAnsi="仿宋_GB2312" w:eastAsia="仿宋_GB2312" w:cs="仿宋_GB2312"/>
          <w:bCs/>
          <w:color w:val="000000"/>
          <w:sz w:val="32"/>
          <w:szCs w:val="32"/>
          <w:highlight w:val="none"/>
        </w:rPr>
        <w:t>城市管理部门</w:t>
      </w:r>
      <w:r>
        <w:rPr>
          <w:rFonts w:hint="eastAsia" w:ascii="仿宋_GB2312" w:hAnsi="仿宋" w:eastAsia="仿宋_GB2312"/>
          <w:bCs/>
          <w:color w:val="000000"/>
          <w:sz w:val="32"/>
          <w:szCs w:val="32"/>
          <w:highlight w:val="none"/>
        </w:rPr>
        <w:t>会同城乡规划主管部门依据城市总体规划划定,经本级人民政府批准后公布实施。</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第十三条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在主要街道和重点区域建（构）筑物临街一侧需要设置隔离设施的，应当采用透景围墙、栅栏、绿篱、花坛(池)、草坪等形式，并保持完好、整洁、美观。</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暂时不能开工的建设用地，临街道一侧应当设置符合标准的实体围挡，其外观应与周边环境相协调。</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第十四条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城市道路及其附属设施应当符合城市容貌标准。严禁擅自挖掘城市道路。</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第十五条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在城市道路设置井（沟）盖的，应当加装防坠网，并在井（沟）盖相应部位设置标志，逐一编号登记报城市管理部门备案。维护管理单位应当定期巡查，如发现井（沟）盖、人行道板破损、移位或者丢失的，应当设置警示标志和符合安全标准的围挡，并及时予以更换、补缺或者正位。</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任何单位和个人不得损坏、挪动城市道路上设置的井（沟）盖、人行道板。如发现井（沟）盖、人行道板破损、移位或者丢失的，可以向</w:t>
      </w:r>
      <w:r>
        <w:rPr>
          <w:rFonts w:hint="eastAsia" w:ascii="仿宋_GB2312" w:hAnsi="仿宋_GB2312" w:eastAsia="仿宋_GB2312" w:cs="仿宋_GB2312"/>
          <w:bCs/>
          <w:color w:val="000000"/>
          <w:sz w:val="32"/>
          <w:szCs w:val="32"/>
          <w:highlight w:val="none"/>
        </w:rPr>
        <w:t>城市管理部门</w:t>
      </w:r>
      <w:r>
        <w:rPr>
          <w:rFonts w:hint="eastAsia" w:ascii="仿宋_GB2312" w:hAnsi="仿宋" w:eastAsia="仿宋_GB2312"/>
          <w:bCs/>
          <w:color w:val="000000"/>
          <w:sz w:val="32"/>
          <w:szCs w:val="32"/>
          <w:highlight w:val="none"/>
        </w:rPr>
        <w:t>报告；</w:t>
      </w:r>
      <w:r>
        <w:rPr>
          <w:rFonts w:hint="eastAsia" w:ascii="仿宋_GB2312" w:hAnsi="仿宋_GB2312" w:eastAsia="仿宋_GB2312" w:cs="仿宋_GB2312"/>
          <w:bCs/>
          <w:color w:val="000000"/>
          <w:sz w:val="32"/>
          <w:szCs w:val="32"/>
          <w:highlight w:val="none"/>
        </w:rPr>
        <w:t>城市管理部门</w:t>
      </w:r>
      <w:r>
        <w:rPr>
          <w:rFonts w:hint="eastAsia" w:ascii="仿宋_GB2312" w:hAnsi="仿宋" w:eastAsia="仿宋_GB2312"/>
          <w:bCs/>
          <w:color w:val="000000"/>
          <w:sz w:val="32"/>
          <w:szCs w:val="32"/>
          <w:highlight w:val="none"/>
        </w:rPr>
        <w:t>应当及时通知维护管理单位。</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第十六条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 xml:space="preserve">任何单位和个人不得有下列行为： </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（一）擅自在街道两侧、城市道路和其他公共场所堆放物料，搭建建（构）筑物或者从事摆酒设宴、生产加工等影响市容和环境卫生的活动；</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（二）擅自在道路路沿设置接坡；</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（三）擅自在人行道和公共场地上设置停车位、地下室入口或者地锁、水泥墩等障碍物；</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临街的经营者不得进行店外经营。</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经依法批准临时占用城市道路、公共场地举办文化、公益等活动的，应当按照要求设置环境卫生设施，并在活动结束后及时清除，保持周围市容环境卫生整洁。</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第十七条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 xml:space="preserve">市、县（区）人民政府可以根据社会实际需要和客观条件适当设置临时经营场所，并应当采取措施保持场所的整洁、有序。 </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经人民政府设置临时经营场所的区域，经营者应当遵循以下规定：</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（一）按照规定的地点、范围、时间经营；</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（二）按照规定配备经营设施和卫生设施，保持整洁完好、摆放有序；</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（三）按照规定处理废弃物和污水，保持地面清洁；</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（四）其他有关市容和环境卫生管理的规定。</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第十八条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机动车、非机动车辆应当按规定停放。禁止占用小区出入通道停放车辆影响城市市容。</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城市道路上运输砂土、石灰、水泥等散装货物和液体、垃圾、粪便等物品的车辆，应当采取密封、覆盖、清洗等措施，不得泄漏、散落或者带泥运行。</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第十九条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门面招牌、楼宇墙体、项目围挡、大型立柱、电子显示屏等户外广告设施，应当按规定设置，符合户外广告规划及城市容貌标准。</w:t>
      </w:r>
    </w:p>
    <w:p>
      <w:pPr>
        <w:keepNext w:val="0"/>
        <w:keepLines w:val="0"/>
        <w:pageBreakBefore w:val="0"/>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snapToGrid w:val="0"/>
          <w:color w:val="000000"/>
          <w:spacing w:val="-6"/>
          <w:kern w:val="0"/>
          <w:sz w:val="32"/>
          <w:szCs w:val="32"/>
          <w:highlight w:val="none"/>
        </w:rPr>
        <w:t>户外广告设置者，应当进行日常维护保养，对图案、文字、灯光显示不</w:t>
      </w:r>
      <w:r>
        <w:rPr>
          <w:rFonts w:hint="eastAsia" w:ascii="仿宋_GB2312" w:hAnsi="仿宋" w:eastAsia="仿宋_GB2312"/>
          <w:bCs/>
          <w:color w:val="000000"/>
          <w:sz w:val="32"/>
          <w:szCs w:val="32"/>
          <w:highlight w:val="none"/>
        </w:rPr>
        <w:t>全或者污浊</w:t>
      </w:r>
      <w:r>
        <w:rPr>
          <w:rFonts w:hint="eastAsia" w:ascii="仿宋_GB2312" w:hAnsi="仿宋" w:eastAsia="仿宋_GB2312"/>
          <w:bCs/>
          <w:snapToGrid w:val="0"/>
          <w:color w:val="000000"/>
          <w:spacing w:val="-6"/>
          <w:kern w:val="0"/>
          <w:sz w:val="32"/>
          <w:szCs w:val="32"/>
          <w:highlight w:val="none"/>
        </w:rPr>
        <w:t>、腐蚀、陈旧、破损等影响市容市貌的，应当及时维</w:t>
      </w:r>
      <w:r>
        <w:rPr>
          <w:rFonts w:hint="eastAsia" w:ascii="仿宋_GB2312" w:hAnsi="仿宋" w:eastAsia="仿宋_GB2312"/>
          <w:bCs/>
          <w:color w:val="000000"/>
          <w:sz w:val="32"/>
          <w:szCs w:val="32"/>
          <w:highlight w:val="none"/>
        </w:rPr>
        <w:t>修</w:t>
      </w:r>
      <w:r>
        <w:rPr>
          <w:rFonts w:hint="eastAsia" w:ascii="仿宋_GB2312" w:hAnsi="仿宋" w:eastAsia="仿宋_GB2312"/>
          <w:bCs/>
          <w:color w:val="000000"/>
          <w:sz w:val="32"/>
          <w:szCs w:val="32"/>
          <w:highlight w:val="none"/>
          <w:lang w:eastAsia="zh-CN"/>
        </w:rPr>
        <w:t>或者</w:t>
      </w:r>
      <w:r>
        <w:rPr>
          <w:rFonts w:hint="eastAsia" w:ascii="仿宋_GB2312" w:hAnsi="仿宋" w:eastAsia="仿宋_GB2312"/>
          <w:bCs/>
          <w:color w:val="000000"/>
          <w:sz w:val="32"/>
          <w:szCs w:val="32"/>
          <w:highlight w:val="none"/>
        </w:rPr>
        <w:t>更换</w:t>
      </w:r>
      <w:r>
        <w:rPr>
          <w:rFonts w:hint="eastAsia" w:ascii="仿宋_GB2312" w:hAnsi="仿宋" w:eastAsia="仿宋_GB2312"/>
          <w:bCs/>
          <w:snapToGrid w:val="0"/>
          <w:color w:val="000000"/>
          <w:spacing w:val="-6"/>
          <w:kern w:val="0"/>
          <w:sz w:val="32"/>
          <w:szCs w:val="32"/>
          <w:highlight w:val="none"/>
        </w:rPr>
        <w:t>；存在安全隐患的，应当及时拆除</w:t>
      </w:r>
      <w:r>
        <w:rPr>
          <w:rFonts w:hint="eastAsia" w:ascii="仿宋_GB2312" w:hAnsi="仿宋" w:eastAsia="仿宋_GB2312"/>
          <w:bCs/>
          <w:color w:val="000000"/>
          <w:sz w:val="32"/>
          <w:szCs w:val="32"/>
          <w:highlight w:val="none"/>
        </w:rPr>
        <w:t>。</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第二十条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设置架空管线应当符合城乡规划要求和城市容貌标准，不得擅自新建架空管线设施；对现有不符合城市容貌标准的，应当逐步改造入地或者采取隐蔽措施。新建道路鼓励建设城市地下综合管廊。</w:t>
      </w:r>
    </w:p>
    <w:p>
      <w:pPr>
        <w:keepNext w:val="0"/>
        <w:keepLines w:val="0"/>
        <w:pageBreakBefore w:val="0"/>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snapToGrid w:val="0"/>
          <w:color w:val="000000"/>
          <w:spacing w:val="-6"/>
          <w:kern w:val="0"/>
          <w:sz w:val="32"/>
          <w:szCs w:val="32"/>
          <w:highlight w:val="none"/>
        </w:rPr>
        <w:t>废弃的杆、管、箱、线缆等设施，维护管理单位应当及时清除</w:t>
      </w:r>
      <w:r>
        <w:rPr>
          <w:rFonts w:hint="eastAsia" w:ascii="仿宋_GB2312" w:hAnsi="仿宋" w:eastAsia="仿宋_GB2312"/>
          <w:bCs/>
          <w:color w:val="000000"/>
          <w:sz w:val="32"/>
          <w:szCs w:val="32"/>
          <w:highlight w:val="none"/>
        </w:rPr>
        <w:t>。</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第二十一条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市、县（区）人民政府</w:t>
      </w:r>
      <w:r>
        <w:rPr>
          <w:rFonts w:hint="eastAsia" w:ascii="仿宋_GB2312" w:hAnsi="仿宋_GB2312" w:eastAsia="仿宋_GB2312" w:cs="仿宋_GB2312"/>
          <w:bCs/>
          <w:color w:val="000000"/>
          <w:sz w:val="32"/>
          <w:szCs w:val="32"/>
          <w:highlight w:val="none"/>
        </w:rPr>
        <w:t>城市管理部门</w:t>
      </w:r>
      <w:r>
        <w:rPr>
          <w:rFonts w:hint="eastAsia" w:ascii="仿宋_GB2312" w:hAnsi="仿宋" w:eastAsia="仿宋_GB2312"/>
          <w:bCs/>
          <w:color w:val="000000"/>
          <w:sz w:val="32"/>
          <w:szCs w:val="32"/>
          <w:highlight w:val="none"/>
        </w:rPr>
        <w:t xml:space="preserve">或者街道办事处、镇人民政府应当按照规划设置公共信息栏，满足公众发布信息需要，并负责日常管理和保洁。 </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任何单位和个人不得在树木、地面、电杆、路灯杆、建（构）筑物或者其他设施上涂写、刻画，不得擅自张贴、悬挂宣传品。</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因重大活动或者政治性、公益性活动等需要临时张贴、设置</w:t>
      </w:r>
      <w:r>
        <w:rPr>
          <w:rFonts w:hint="eastAsia" w:ascii="仿宋_GB2312" w:hAnsi="仿宋_GB2312" w:eastAsia="仿宋_GB2312" w:cs="仿宋_GB2312"/>
          <w:bCs/>
          <w:color w:val="000000"/>
          <w:sz w:val="32"/>
          <w:szCs w:val="32"/>
          <w:highlight w:val="none"/>
        </w:rPr>
        <w:t>横幅</w:t>
      </w:r>
      <w:r>
        <w:rPr>
          <w:rFonts w:hint="eastAsia" w:ascii="仿宋_GB2312" w:hAnsi="仿宋" w:eastAsia="仿宋_GB2312"/>
          <w:bCs/>
          <w:color w:val="000000"/>
          <w:sz w:val="32"/>
          <w:szCs w:val="32"/>
          <w:highlight w:val="none"/>
        </w:rPr>
        <w:t>、标语等宣传品的，设置单位应当向</w:t>
      </w:r>
      <w:r>
        <w:rPr>
          <w:rFonts w:hint="eastAsia" w:ascii="仿宋_GB2312" w:hAnsi="仿宋_GB2312" w:eastAsia="仿宋_GB2312" w:cs="仿宋_GB2312"/>
          <w:bCs/>
          <w:color w:val="000000"/>
          <w:sz w:val="32"/>
          <w:szCs w:val="32"/>
          <w:highlight w:val="none"/>
        </w:rPr>
        <w:t>城市管理部门</w:t>
      </w:r>
      <w:r>
        <w:rPr>
          <w:rFonts w:hint="eastAsia" w:ascii="仿宋_GB2312" w:hAnsi="仿宋" w:eastAsia="仿宋_GB2312"/>
          <w:bCs/>
          <w:color w:val="000000"/>
          <w:sz w:val="32"/>
          <w:szCs w:val="32"/>
          <w:highlight w:val="none"/>
        </w:rPr>
        <w:t>申请批准，并保持宣传品整洁美观，期满后及时拆除，恢复原状。</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第二十二条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城市照明设施的设置，应当符合城市容貌标准和环境保护要求，亮化效果应当体现区域功能、建（构）筑物造型特点和文化内涵，并与整体景观相协调。</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城市照明设施的维护管理单位应当保持设施完好，按照规定的时间启闭。任何单位和个人不得损坏、妨碍或者擅自移动、拆除城市照明设施。</w:t>
      </w:r>
    </w:p>
    <w:p>
      <w:pPr>
        <w:keepNext w:val="0"/>
        <w:keepLines w:val="0"/>
        <w:pageBreakBefore w:val="0"/>
        <w:wordWrap/>
        <w:overflowPunct/>
        <w:topLinePunct w:val="0"/>
        <w:autoSpaceDE/>
        <w:autoSpaceDN/>
        <w:bidi w:val="0"/>
        <w:adjustRightInd w:val="0"/>
        <w:snapToGrid w:val="0"/>
        <w:spacing w:line="580" w:lineRule="atLeast"/>
        <w:jc w:val="center"/>
        <w:textAlignment w:val="auto"/>
        <w:outlineLvl w:val="9"/>
        <w:rPr>
          <w:rFonts w:hint="eastAsia" w:ascii="黑体" w:hAnsi="宋体" w:eastAsia="黑体"/>
          <w:bCs/>
          <w:color w:val="000000"/>
          <w:sz w:val="32"/>
          <w:szCs w:val="32"/>
          <w:highlight w:val="none"/>
        </w:rPr>
      </w:pPr>
    </w:p>
    <w:p>
      <w:pPr>
        <w:keepNext w:val="0"/>
        <w:keepLines w:val="0"/>
        <w:pageBreakBefore w:val="0"/>
        <w:wordWrap/>
        <w:overflowPunct/>
        <w:topLinePunct w:val="0"/>
        <w:autoSpaceDE/>
        <w:autoSpaceDN/>
        <w:bidi w:val="0"/>
        <w:adjustRightInd w:val="0"/>
        <w:snapToGrid w:val="0"/>
        <w:spacing w:line="580" w:lineRule="atLeast"/>
        <w:jc w:val="center"/>
        <w:textAlignment w:val="auto"/>
        <w:outlineLvl w:val="9"/>
        <w:rPr>
          <w:rFonts w:hint="eastAsia" w:ascii="黑体" w:hAnsi="宋体" w:eastAsia="黑体"/>
          <w:bCs/>
          <w:color w:val="000000"/>
          <w:sz w:val="32"/>
          <w:szCs w:val="32"/>
          <w:highlight w:val="none"/>
        </w:rPr>
      </w:pPr>
      <w:r>
        <w:rPr>
          <w:rFonts w:hint="eastAsia" w:ascii="黑体" w:hAnsi="宋体" w:eastAsia="黑体"/>
          <w:bCs/>
          <w:color w:val="000000"/>
          <w:sz w:val="32"/>
          <w:szCs w:val="32"/>
          <w:highlight w:val="none"/>
        </w:rPr>
        <w:t>第四章</w:t>
      </w:r>
      <w:r>
        <w:rPr>
          <w:rFonts w:hint="eastAsia" w:ascii="黑体" w:hAnsi="宋体" w:eastAsia="黑体"/>
          <w:bCs/>
          <w:color w:val="000000"/>
          <w:sz w:val="32"/>
          <w:szCs w:val="32"/>
          <w:highlight w:val="none"/>
          <w:lang w:val="en-US" w:eastAsia="zh-CN"/>
        </w:rPr>
        <w:t xml:space="preserve">  </w:t>
      </w:r>
      <w:r>
        <w:rPr>
          <w:rFonts w:hint="eastAsia" w:ascii="黑体" w:hAnsi="宋体" w:eastAsia="黑体"/>
          <w:bCs/>
          <w:color w:val="000000"/>
          <w:sz w:val="32"/>
          <w:szCs w:val="32"/>
          <w:highlight w:val="none"/>
        </w:rPr>
        <w:t>环境卫生管理</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第二十三条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未经城市管理部门同意，不得擅自改变环境卫生设施用途，不得侵占、损坏、拆迁、封闭环境卫生设施。</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新区开发、旧区改造和住宅小区开发建设应当按照国家规定，对环境卫生设施实行统一规划，合理布局，并与主体工程同时设计、同时施工、同时交付使用。</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第二十四条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禁止下列影响公共场所环境卫生的行为：</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（一）随地吐痰、便溺；</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（二）乱扔果皮、纸屑、烟蒂、槟榔渣、口香糖、包装袋、饮料罐等废弃物；</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（三）乱倒垃圾、污水、粪便，乱扔动物尸体；</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（四）向建（构）筑物外或者车窗外抛掷杂物、废弃物；</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（五）抛撒、焚烧冥纸；</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（六）焚烧树叶、木柴、垃圾等；</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（七）向城市河流、湖泊、水塘等公共水域内倾倒废弃物和垃圾等污染物；</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（八）其他影响公共场所环境卫生的行为。</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第二十五条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 xml:space="preserve">市、县（区）人民政府负责统筹安排生活垃圾收集、运输、处置设施建设，逐步推行生活垃圾分类投放、收集、运输和处置，应当制定生活垃圾分类的具体标准和方法，并向社会公布后组织实施。 </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单位和个人应当按照规定的时间、地点等要求，将生活垃圾投放到指定的垃圾容器或者收集场所，不得随意倾倒、抛洒或者堆放。废旧家具等大件垃圾应当按规定投放。</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医疗废物、工业固体废物、危险废物等其他有毒有害废物应当按照有关法律法规的规定单独收集、贮存、运输、处置，不得混入生活垃圾。</w:t>
      </w:r>
    </w:p>
    <w:p>
      <w:pPr>
        <w:keepNext w:val="0"/>
        <w:keepLines w:val="0"/>
        <w:pageBreakBefore w:val="0"/>
        <w:widowControl/>
        <w:wordWrap/>
        <w:overflowPunct/>
        <w:topLinePunct w:val="0"/>
        <w:autoSpaceDE/>
        <w:autoSpaceDN/>
        <w:bidi w:val="0"/>
        <w:adjustRightInd w:val="0"/>
        <w:snapToGrid w:val="0"/>
        <w:spacing w:line="580" w:lineRule="atLeast"/>
        <w:ind w:firstLine="640" w:firstLineChars="200"/>
        <w:jc w:val="left"/>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第二十六条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餐厨垃圾管理坚持减量化、资源化、无害化的原则，实行统一收集运输、集中定点处置制度。城市管理部门应当组织有资质的相关单位对集中产生的餐厨垃圾进行定点回收；环境保护等主管部门应当对餐厨垃圾集中处置情况进行监督管理。</w:t>
      </w:r>
    </w:p>
    <w:p>
      <w:pPr>
        <w:keepNext w:val="0"/>
        <w:keepLines w:val="0"/>
        <w:pageBreakBefore w:val="0"/>
        <w:widowControl/>
        <w:wordWrap/>
        <w:overflowPunct/>
        <w:topLinePunct w:val="0"/>
        <w:autoSpaceDE/>
        <w:autoSpaceDN/>
        <w:bidi w:val="0"/>
        <w:adjustRightInd w:val="0"/>
        <w:snapToGrid w:val="0"/>
        <w:spacing w:line="580" w:lineRule="atLeast"/>
        <w:ind w:firstLine="640" w:firstLineChars="200"/>
        <w:jc w:val="left"/>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餐饮经营者、学校、医院等企事业和机关单位产生的餐厨垃圾应当单独收集、密闭存放。不得将餐厨垃圾交由未依法取得餐厨垃圾收运、处置资质的单位和个人收运、处置。</w:t>
      </w:r>
    </w:p>
    <w:p>
      <w:pPr>
        <w:keepNext w:val="0"/>
        <w:keepLines w:val="0"/>
        <w:pageBreakBefore w:val="0"/>
        <w:widowControl/>
        <w:wordWrap/>
        <w:overflowPunct/>
        <w:topLinePunct w:val="0"/>
        <w:autoSpaceDE/>
        <w:autoSpaceDN/>
        <w:bidi w:val="0"/>
        <w:adjustRightInd w:val="0"/>
        <w:snapToGrid w:val="0"/>
        <w:spacing w:line="580" w:lineRule="atLeast"/>
        <w:ind w:firstLine="640" w:firstLineChars="200"/>
        <w:jc w:val="left"/>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禁止将餐厨垃圾直接排入城镇排水管网。禁止随意倾倒、抛撒、堆放餐厨垃圾。</w:t>
      </w:r>
    </w:p>
    <w:p>
      <w:pPr>
        <w:keepNext w:val="0"/>
        <w:keepLines w:val="0"/>
        <w:pageBreakBefore w:val="0"/>
        <w:widowControl/>
        <w:wordWrap/>
        <w:overflowPunct/>
        <w:topLinePunct w:val="0"/>
        <w:autoSpaceDE/>
        <w:autoSpaceDN/>
        <w:bidi w:val="0"/>
        <w:adjustRightInd w:val="0"/>
        <w:snapToGrid w:val="0"/>
        <w:spacing w:line="580" w:lineRule="atLeast"/>
        <w:ind w:firstLine="640" w:firstLineChars="200"/>
        <w:jc w:val="left"/>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第二十七条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任何单位和个人不得随意倾倒、抛撒或者堆放建筑垃圾。</w:t>
      </w:r>
    </w:p>
    <w:p>
      <w:pPr>
        <w:keepNext w:val="0"/>
        <w:keepLines w:val="0"/>
        <w:pageBreakBefore w:val="0"/>
        <w:widowControl/>
        <w:wordWrap/>
        <w:overflowPunct/>
        <w:topLinePunct w:val="0"/>
        <w:autoSpaceDE/>
        <w:autoSpaceDN/>
        <w:bidi w:val="0"/>
        <w:adjustRightInd w:val="0"/>
        <w:snapToGrid w:val="0"/>
        <w:spacing w:line="580" w:lineRule="atLeast"/>
        <w:ind w:firstLine="640" w:firstLineChars="200"/>
        <w:jc w:val="left"/>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市、县（区）人民政府应当统筹建设建筑垃圾处置消纳场所。建筑垃圾应当在规定的消纳场所集中堆放、处置。</w:t>
      </w:r>
    </w:p>
    <w:p>
      <w:pPr>
        <w:keepNext w:val="0"/>
        <w:keepLines w:val="0"/>
        <w:pageBreakBefore w:val="0"/>
        <w:widowControl/>
        <w:wordWrap/>
        <w:overflowPunct/>
        <w:topLinePunct w:val="0"/>
        <w:autoSpaceDE/>
        <w:autoSpaceDN/>
        <w:bidi w:val="0"/>
        <w:adjustRightInd w:val="0"/>
        <w:snapToGrid w:val="0"/>
        <w:spacing w:line="580" w:lineRule="atLeast"/>
        <w:ind w:firstLine="640" w:firstLineChars="200"/>
        <w:jc w:val="left"/>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处置建筑垃圾的单位，应当按照规定向城市管理部门提出申请，获得核准后方可处置。</w:t>
      </w:r>
    </w:p>
    <w:p>
      <w:pPr>
        <w:keepNext w:val="0"/>
        <w:keepLines w:val="0"/>
        <w:pageBreakBefore w:val="0"/>
        <w:widowControl/>
        <w:wordWrap/>
        <w:overflowPunct/>
        <w:topLinePunct w:val="0"/>
        <w:autoSpaceDE/>
        <w:autoSpaceDN/>
        <w:bidi w:val="0"/>
        <w:adjustRightInd w:val="0"/>
        <w:snapToGrid w:val="0"/>
        <w:spacing w:line="580" w:lineRule="atLeast"/>
        <w:ind w:firstLine="640" w:firstLineChars="200"/>
        <w:jc w:val="left"/>
        <w:textAlignment w:val="auto"/>
        <w:outlineLvl w:val="9"/>
        <w:rPr>
          <w:rFonts w:hint="eastAsia" w:ascii="仿宋_GB2312" w:hAnsi="仿宋" w:eastAsia="仿宋_GB2312" w:cs="宋体"/>
          <w:bCs/>
          <w:color w:val="000000"/>
          <w:kern w:val="0"/>
          <w:sz w:val="32"/>
          <w:szCs w:val="32"/>
          <w:highlight w:val="none"/>
        </w:rPr>
      </w:pPr>
      <w:r>
        <w:rPr>
          <w:rFonts w:hint="eastAsia" w:ascii="仿宋_GB2312" w:hAnsi="仿宋" w:eastAsia="仿宋_GB2312"/>
          <w:bCs/>
          <w:color w:val="000000"/>
          <w:sz w:val="32"/>
          <w:szCs w:val="32"/>
          <w:highlight w:val="none"/>
        </w:rPr>
        <w:t>运输建筑垃圾应当随车携带建筑垃圾处置核准文件，并按照规定的路线、时间、地点运输和倾倒。</w:t>
      </w:r>
    </w:p>
    <w:p>
      <w:pPr>
        <w:keepNext w:val="0"/>
        <w:keepLines w:val="0"/>
        <w:pageBreakBefore w:val="0"/>
        <w:widowControl/>
        <w:wordWrap/>
        <w:overflowPunct/>
        <w:topLinePunct w:val="0"/>
        <w:autoSpaceDE/>
        <w:autoSpaceDN/>
        <w:bidi w:val="0"/>
        <w:adjustRightInd w:val="0"/>
        <w:snapToGrid w:val="0"/>
        <w:spacing w:line="580" w:lineRule="atLeast"/>
        <w:ind w:firstLine="640" w:firstLineChars="200"/>
        <w:jc w:val="left"/>
        <w:textAlignment w:val="auto"/>
        <w:outlineLvl w:val="9"/>
        <w:rPr>
          <w:rFonts w:hint="eastAsia" w:ascii="仿宋_GB2312" w:hAnsi="仿宋" w:eastAsia="仿宋_GB2312" w:cs="宋体"/>
          <w:bCs/>
          <w:color w:val="000000"/>
          <w:kern w:val="0"/>
          <w:sz w:val="32"/>
          <w:szCs w:val="32"/>
          <w:highlight w:val="none"/>
        </w:rPr>
      </w:pPr>
      <w:r>
        <w:rPr>
          <w:rFonts w:hint="eastAsia" w:ascii="黑体" w:hAnsi="黑体" w:eastAsia="黑体" w:cs="黑体"/>
          <w:bCs/>
          <w:color w:val="000000"/>
          <w:kern w:val="0"/>
          <w:sz w:val="32"/>
          <w:szCs w:val="32"/>
          <w:highlight w:val="none"/>
        </w:rPr>
        <w:t>第二十八条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居（村）民委员会、物业服务企业应当指定建筑垃圾收集地点，收纳居（村）民装饰装修房屋过程中产生的建筑垃圾。</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第二十九条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因栽培、修剪树木、花草、浇灌植物等园林绿化养护作业产生的枝叶、泥土等废弃物，作业单位</w:t>
      </w:r>
      <w:r>
        <w:rPr>
          <w:rFonts w:hint="eastAsia" w:ascii="仿宋_GB2312" w:hAnsi="仿宋" w:eastAsia="仿宋_GB2312"/>
          <w:bCs/>
          <w:color w:val="000000"/>
          <w:sz w:val="32"/>
          <w:szCs w:val="32"/>
          <w:highlight w:val="none"/>
          <w:lang w:eastAsia="zh-CN"/>
        </w:rPr>
        <w:t>或者</w:t>
      </w:r>
      <w:r>
        <w:rPr>
          <w:rFonts w:hint="eastAsia" w:ascii="仿宋_GB2312" w:hAnsi="仿宋" w:eastAsia="仿宋_GB2312"/>
          <w:bCs/>
          <w:color w:val="000000"/>
          <w:sz w:val="32"/>
          <w:szCs w:val="32"/>
          <w:highlight w:val="none"/>
        </w:rPr>
        <w:t>个人应当及时清除。</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第三十条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城市新建公共厕所应当建成水冲式</w:t>
      </w:r>
      <w:r>
        <w:rPr>
          <w:rFonts w:hint="eastAsia" w:ascii="仿宋_GB2312" w:hAnsi="仿宋" w:eastAsia="仿宋_GB2312"/>
          <w:bCs/>
          <w:color w:val="000000"/>
          <w:sz w:val="32"/>
          <w:szCs w:val="32"/>
          <w:highlight w:val="none"/>
          <w:lang w:eastAsia="zh-CN"/>
        </w:rPr>
        <w:t>或者</w:t>
      </w:r>
      <w:r>
        <w:rPr>
          <w:rFonts w:hint="eastAsia" w:ascii="仿宋_GB2312" w:hAnsi="仿宋" w:eastAsia="仿宋_GB2312"/>
          <w:bCs/>
          <w:color w:val="000000"/>
          <w:sz w:val="32"/>
          <w:szCs w:val="32"/>
          <w:highlight w:val="none"/>
        </w:rPr>
        <w:t>生态式厕所。现有旱厕应当取消。</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公共厕所应当免费开放，设有明显指示牌和标识标志，并由专人负责管理，按时冲刷、清掏，定期消毒，保持内外整洁。使用者应当自觉维护公共厕所的清洁卫生，爱护公共厕所的设施。</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鼓励机关、企事业和商业服务窗口单位的公用厕所在工作（营业）时间免费对外开放。</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第三十一条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禁止在本市行政区域内的城市建成区和其他县级以上人民政府确定的范围内，燃放烟花爆竹。因重大节庆活动确需燃放的，应当依法办理手续。</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第三十二条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城市建成区内禁止饲养鸡、鸭、鹅、兔、羊、猪等家畜家禽；因教学、科研以及其他特殊需要饲养的，应当实行圈养，并不得影响周围环境卫生。</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居民饲养宠物不得影响公共场所环境卫生，对宠物的粪便应当即时自行清理。</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第三十三条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从事车辆清洗、维修及废品收购、废弃物接纳作业的，应当严格按照相关专项规划设置场所。其经营管理者应当保持经营场所及周围环境卫生整洁，采取措施防止污水外流或者废弃物向外散落。</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下列区域禁止设置机动车清洗、维修场:</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（一）居住区住宅楼内、机关事业单位内；</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（二）公共场地、城市绿地、水源保护区。</w:t>
      </w:r>
    </w:p>
    <w:p>
      <w:pPr>
        <w:keepNext w:val="0"/>
        <w:keepLines w:val="0"/>
        <w:pageBreakBefore w:val="0"/>
        <w:wordWrap/>
        <w:overflowPunct/>
        <w:topLinePunct w:val="0"/>
        <w:autoSpaceDE/>
        <w:autoSpaceDN/>
        <w:bidi w:val="0"/>
        <w:adjustRightInd w:val="0"/>
        <w:snapToGrid w:val="0"/>
        <w:spacing w:line="580" w:lineRule="atLeast"/>
        <w:jc w:val="center"/>
        <w:textAlignment w:val="auto"/>
        <w:outlineLvl w:val="9"/>
        <w:rPr>
          <w:rFonts w:hint="eastAsia" w:ascii="黑体" w:hAnsi="宋体" w:eastAsia="黑体"/>
          <w:bCs/>
          <w:color w:val="000000"/>
          <w:sz w:val="32"/>
          <w:szCs w:val="32"/>
          <w:highlight w:val="none"/>
        </w:rPr>
      </w:pPr>
    </w:p>
    <w:p>
      <w:pPr>
        <w:keepNext w:val="0"/>
        <w:keepLines w:val="0"/>
        <w:pageBreakBefore w:val="0"/>
        <w:wordWrap/>
        <w:overflowPunct/>
        <w:topLinePunct w:val="0"/>
        <w:autoSpaceDE/>
        <w:autoSpaceDN/>
        <w:bidi w:val="0"/>
        <w:adjustRightInd w:val="0"/>
        <w:snapToGrid w:val="0"/>
        <w:spacing w:line="580" w:lineRule="atLeast"/>
        <w:jc w:val="center"/>
        <w:textAlignment w:val="auto"/>
        <w:outlineLvl w:val="9"/>
        <w:rPr>
          <w:rFonts w:hint="eastAsia" w:ascii="黑体" w:hAnsi="宋体" w:eastAsia="黑体"/>
          <w:bCs/>
          <w:color w:val="000000"/>
          <w:sz w:val="32"/>
          <w:szCs w:val="32"/>
          <w:highlight w:val="none"/>
        </w:rPr>
      </w:pPr>
      <w:r>
        <w:rPr>
          <w:rFonts w:hint="eastAsia" w:ascii="黑体" w:hAnsi="宋体" w:eastAsia="黑体"/>
          <w:bCs/>
          <w:color w:val="000000"/>
          <w:sz w:val="32"/>
          <w:szCs w:val="32"/>
          <w:highlight w:val="none"/>
        </w:rPr>
        <w:t>第五章</w:t>
      </w:r>
      <w:r>
        <w:rPr>
          <w:rFonts w:hint="eastAsia" w:ascii="黑体" w:hAnsi="宋体" w:eastAsia="黑体"/>
          <w:bCs/>
          <w:color w:val="000000"/>
          <w:sz w:val="32"/>
          <w:szCs w:val="32"/>
          <w:highlight w:val="none"/>
          <w:lang w:val="en-US" w:eastAsia="zh-CN"/>
        </w:rPr>
        <w:t xml:space="preserve">  </w:t>
      </w:r>
      <w:r>
        <w:rPr>
          <w:rFonts w:hint="eastAsia" w:ascii="黑体" w:hAnsi="宋体" w:eastAsia="黑体"/>
          <w:bCs/>
          <w:color w:val="000000"/>
          <w:sz w:val="32"/>
          <w:szCs w:val="32"/>
          <w:highlight w:val="none"/>
        </w:rPr>
        <w:t>法律责任</w:t>
      </w:r>
    </w:p>
    <w:p>
      <w:pPr>
        <w:keepNext w:val="0"/>
        <w:keepLines w:val="0"/>
        <w:pageBreakBefore w:val="0"/>
        <w:wordWrap/>
        <w:overflowPunct/>
        <w:topLinePunct w:val="0"/>
        <w:autoSpaceDE/>
        <w:autoSpaceDN/>
        <w:bidi w:val="0"/>
        <w:adjustRightInd w:val="0"/>
        <w:snapToGrid w:val="0"/>
        <w:spacing w:line="580" w:lineRule="atLeast"/>
        <w:textAlignment w:val="auto"/>
        <w:outlineLvl w:val="9"/>
        <w:rPr>
          <w:rFonts w:hint="eastAsia" w:ascii="仿宋_GB2312" w:hAnsi="仿宋" w:eastAsia="仿宋_GB2312"/>
          <w:bCs/>
          <w:color w:val="000000"/>
          <w:sz w:val="32"/>
          <w:szCs w:val="32"/>
          <w:highlight w:val="none"/>
        </w:rPr>
      </w:pP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第三十四条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违反本条例规定的行为，法律、行政法规、湖南省地方性法规已有法律责任规定的，从其规定。</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第三十五条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有下列情形之一的，由城市管理部门责令改正，并按以下规定处罚：</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（一）违反本条例第十一条第一款规定，责任人不履行保洁责任，拒不改正的，给予警告，对个人可以处五十元以上二百元以下罚款，对单位可以处五百元以上二千元以下罚款；</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（二）违反本条例第十七条第二款规定，拒不改正的，处一百元以上五百元以下罚款；</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（三）违反本条例第十八条第一款的规定，占用小区出入通道停放车辆影响城市市容的，可以处警告或者一百元罚款；</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（四）违反本条例第十八条第二款的规定，未采取密闭、覆盖或者其他措施的，处二千元以上一万元以下罚款；</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（五）违反本条例第二十四条第六项规定的，可以处五百元以上二千元以下罚款；</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（六）违反本条例第二十七条第四款规定，未按照规定的运输路线、时间、地点运输和倾倒建筑垃圾的，处二千元以上一万元以下罚款。</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第三十六条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有下列情形之一的，由城市管理部门责令限期改正；逾期拒不改正的，按以下规定处罚：</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（一）违反本条例第十二条第二款规定，设置不符合城市容貌标准的设施，可以处二百元以上一千元以下罚款；</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（二）违反本条例第十二条第三款规定的，可以处警告或者五十元以上二百元以下罚款；</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（三）违反本条例第十三条第二款规定的，可以处警告或者一千元以上五千元以下罚款；</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（四）违反本条例第十五条第一款规定，维护管理单位未按照规定更换、补缺、正位的，可以处二千元以上一万元以下罚款；造成损失的，应当依法承担赔偿责任；</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（五）违反本条例第十九条第二款规定，对污浊、腐蚀、陈旧、破损等户外广告未及时刷新、维修、更换或者拆除的，处二百元以上一千元以下罚款；</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（六）违反本条例第二十条第一款规定，设置架空管线不符合城乡规划要求和城市容貌标准，擅自新建架空管线设施，处二千元以上一万元以下罚款；</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（七）违反本条例第二十九条规定的，处一千元以上五千元以下罚款；</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（八）违反本条例第三十三条第一款规定的，可以处二百元以上一千元以下罚款；</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（九）违反本条例第三十三条第二款规定的，可以处五千元以上二万元以下罚款。</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第三十七条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违反本条例第十六条第一款规定的，责令停止违法行为、限期清理、拆除或者采取其他补救措施，并可处以一千元以上五千元以下罚款。</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第三十八条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违反第二十条第二款规定的，责令限期清除；逾期未清除的，处以一千元以上五千元以下罚款。</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cs="Tahoma"/>
          <w:bCs/>
          <w:color w:val="000000"/>
          <w:sz w:val="32"/>
          <w:szCs w:val="32"/>
          <w:highlight w:val="none"/>
        </w:rPr>
      </w:pPr>
      <w:r>
        <w:rPr>
          <w:rFonts w:hint="eastAsia" w:ascii="黑体" w:hAnsi="黑体" w:eastAsia="黑体" w:cs="黑体"/>
          <w:bCs/>
          <w:color w:val="000000"/>
          <w:kern w:val="0"/>
          <w:sz w:val="32"/>
          <w:szCs w:val="32"/>
          <w:highlight w:val="none"/>
        </w:rPr>
        <w:t>第三十九条</w:t>
      </w:r>
      <w:r>
        <w:rPr>
          <w:rFonts w:hint="eastAsia" w:ascii="仿宋_GB2312" w:hAnsi="仿宋" w:eastAsia="仿宋_GB2312" w:cs="Tahoma"/>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违反本条例第二十一条第二款、第三款规定的，除责令纠正其违法行为、采取补救措施外，可以并处警告或者二百元以上一千元以下罚款；造成损坏、不能恢复原状的，依法承担赔偿责任。</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cs="Tahoma"/>
          <w:bCs/>
          <w:color w:val="000000"/>
          <w:sz w:val="32"/>
          <w:szCs w:val="32"/>
          <w:highlight w:val="none"/>
        </w:rPr>
      </w:pPr>
      <w:r>
        <w:rPr>
          <w:rFonts w:hint="eastAsia" w:ascii="黑体" w:hAnsi="黑体" w:eastAsia="黑体" w:cs="黑体"/>
          <w:bCs/>
          <w:color w:val="000000"/>
          <w:kern w:val="0"/>
          <w:sz w:val="32"/>
          <w:szCs w:val="32"/>
          <w:highlight w:val="none"/>
        </w:rPr>
        <w:t>第四十条</w:t>
      </w:r>
      <w:r>
        <w:rPr>
          <w:rFonts w:hint="eastAsia" w:ascii="仿宋_GB2312" w:hAnsi="仿宋" w:eastAsia="仿宋_GB2312" w:cs="Tahoma"/>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违反本条例第二十三条第一款规定，除责令其纠正违法行为、采取补救措施外，可以处二千元以上一万元以下罚款；造成损失的，依法承担赔偿责任。</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cs="Tahoma"/>
          <w:bCs/>
          <w:color w:val="000000"/>
          <w:sz w:val="32"/>
          <w:szCs w:val="32"/>
          <w:highlight w:val="none"/>
        </w:rPr>
      </w:pPr>
      <w:r>
        <w:rPr>
          <w:rFonts w:hint="eastAsia" w:ascii="黑体" w:hAnsi="黑体" w:eastAsia="黑体" w:cs="黑体"/>
          <w:bCs/>
          <w:color w:val="000000"/>
          <w:kern w:val="0"/>
          <w:sz w:val="32"/>
          <w:szCs w:val="32"/>
          <w:highlight w:val="none"/>
        </w:rPr>
        <w:t>第四十一条</w:t>
      </w:r>
      <w:r>
        <w:rPr>
          <w:rFonts w:hint="eastAsia" w:ascii="仿宋_GB2312" w:hAnsi="仿宋" w:eastAsia="仿宋_GB2312" w:cs="Tahoma"/>
          <w:bCs/>
          <w:color w:val="000000"/>
          <w:sz w:val="32"/>
          <w:szCs w:val="32"/>
          <w:highlight w:val="none"/>
          <w:lang w:val="en-US" w:eastAsia="zh-CN"/>
        </w:rPr>
        <w:t xml:space="preserve">  </w:t>
      </w:r>
      <w:r>
        <w:rPr>
          <w:rFonts w:hint="eastAsia" w:ascii="仿宋_GB2312" w:hAnsi="宋体" w:eastAsia="仿宋_GB2312"/>
          <w:bCs/>
          <w:color w:val="000000"/>
          <w:sz w:val="32"/>
          <w:szCs w:val="32"/>
          <w:highlight w:val="none"/>
        </w:rPr>
        <w:t>违反本条例第二十四条第一项至第</w:t>
      </w:r>
      <w:r>
        <w:rPr>
          <w:rFonts w:hint="eastAsia" w:ascii="仿宋_GB2312" w:hAnsi="仿宋" w:eastAsia="仿宋_GB2312"/>
          <w:bCs/>
          <w:color w:val="000000"/>
          <w:sz w:val="32"/>
          <w:szCs w:val="32"/>
          <w:highlight w:val="none"/>
        </w:rPr>
        <w:t>五</w:t>
      </w:r>
      <w:r>
        <w:rPr>
          <w:rFonts w:hint="eastAsia" w:ascii="仿宋_GB2312" w:hAnsi="宋体" w:eastAsia="仿宋_GB2312"/>
          <w:bCs/>
          <w:color w:val="000000"/>
          <w:sz w:val="32"/>
          <w:szCs w:val="32"/>
          <w:highlight w:val="none"/>
        </w:rPr>
        <w:t>项规定及第三十二条第二款规定的，除责令纠正其违法行为、采取补救措施外，可以并处警告或者五十元以上二百元以下罚款。</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黑体" w:hAnsi="黑体" w:eastAsia="黑体" w:cs="黑体"/>
          <w:bCs/>
          <w:color w:val="000000"/>
          <w:kern w:val="0"/>
          <w:sz w:val="32"/>
          <w:szCs w:val="32"/>
          <w:highlight w:val="none"/>
        </w:rPr>
        <w:t>第四十二条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城市管理部门和其他有关部门未履行本条例规定的职责，有下列情形之一的，由所在单位或者上级主管部门、监察机关责令改正；情节严重的，对直接负责的主管人员和其他直接责任人给予行政处分；构成犯罪的，依法追究刑事责任；给当事人造成损失的，依法承担赔偿责任：</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（一）对依法应当受理的许可申请、投诉、举报不受理，或者不依法处理的；</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（二）对依法应当予以制止或者处罚的违法行为不予制止、处罚，或者不依法处理的；</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（三）包庇、纵容违法行为人的；</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r>
        <w:rPr>
          <w:rFonts w:hint="eastAsia" w:ascii="仿宋_GB2312" w:hAnsi="仿宋" w:eastAsia="仿宋_GB2312"/>
          <w:bCs/>
          <w:color w:val="000000"/>
          <w:sz w:val="32"/>
          <w:szCs w:val="32"/>
          <w:highlight w:val="none"/>
        </w:rPr>
        <w:t>（四）其他玩忽职守、滥用职权或者徇私舞弊行为的。</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p>
    <w:p>
      <w:pPr>
        <w:keepNext w:val="0"/>
        <w:keepLines w:val="0"/>
        <w:pageBreakBefore w:val="0"/>
        <w:wordWrap/>
        <w:overflowPunct/>
        <w:topLinePunct w:val="0"/>
        <w:autoSpaceDE/>
        <w:autoSpaceDN/>
        <w:bidi w:val="0"/>
        <w:adjustRightInd w:val="0"/>
        <w:snapToGrid w:val="0"/>
        <w:spacing w:line="580" w:lineRule="atLeast"/>
        <w:jc w:val="center"/>
        <w:textAlignment w:val="auto"/>
        <w:outlineLvl w:val="9"/>
        <w:rPr>
          <w:rFonts w:hint="eastAsia" w:ascii="黑体" w:eastAsia="黑体"/>
          <w:bCs/>
          <w:color w:val="000000"/>
          <w:sz w:val="32"/>
          <w:szCs w:val="32"/>
          <w:highlight w:val="none"/>
        </w:rPr>
      </w:pPr>
      <w:r>
        <w:rPr>
          <w:rFonts w:hint="eastAsia" w:ascii="黑体" w:eastAsia="黑体"/>
          <w:bCs/>
          <w:color w:val="000000"/>
          <w:sz w:val="32"/>
          <w:szCs w:val="32"/>
          <w:highlight w:val="none"/>
        </w:rPr>
        <w:t>第六章</w:t>
      </w:r>
      <w:r>
        <w:rPr>
          <w:rFonts w:hint="eastAsia" w:ascii="黑体" w:eastAsia="黑体"/>
          <w:bCs/>
          <w:color w:val="000000"/>
          <w:sz w:val="32"/>
          <w:szCs w:val="32"/>
          <w:highlight w:val="none"/>
          <w:lang w:val="en-US" w:eastAsia="zh-CN"/>
        </w:rPr>
        <w:t xml:space="preserve">  </w:t>
      </w:r>
      <w:r>
        <w:rPr>
          <w:rFonts w:hint="eastAsia" w:ascii="黑体" w:eastAsia="黑体"/>
          <w:bCs/>
          <w:color w:val="000000"/>
          <w:sz w:val="32"/>
          <w:szCs w:val="32"/>
          <w:highlight w:val="none"/>
        </w:rPr>
        <w:t>附则</w:t>
      </w: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bCs/>
          <w:color w:val="000000"/>
          <w:sz w:val="32"/>
          <w:szCs w:val="32"/>
          <w:highlight w:val="none"/>
        </w:rPr>
      </w:pPr>
    </w:p>
    <w:p>
      <w:pPr>
        <w:keepNext w:val="0"/>
        <w:keepLines w:val="0"/>
        <w:pageBreakBefore w:val="0"/>
        <w:wordWrap/>
        <w:overflowPunct/>
        <w:topLinePunct w:val="0"/>
        <w:autoSpaceDE/>
        <w:autoSpaceDN/>
        <w:bidi w:val="0"/>
        <w:adjustRightInd w:val="0"/>
        <w:snapToGrid w:val="0"/>
        <w:spacing w:line="580" w:lineRule="atLeast"/>
        <w:ind w:firstLine="640" w:firstLineChars="200"/>
        <w:textAlignment w:val="auto"/>
        <w:outlineLvl w:val="9"/>
        <w:rPr>
          <w:color w:val="000000"/>
          <w:highlight w:val="none"/>
        </w:rPr>
      </w:pPr>
      <w:r>
        <w:rPr>
          <w:rFonts w:hint="eastAsia" w:ascii="黑体" w:hAnsi="黑体" w:eastAsia="黑体" w:cs="黑体"/>
          <w:bCs/>
          <w:color w:val="000000"/>
          <w:kern w:val="0"/>
          <w:sz w:val="32"/>
          <w:szCs w:val="32"/>
          <w:highlight w:val="none"/>
        </w:rPr>
        <w:t>第四十三条</w:t>
      </w:r>
      <w:r>
        <w:rPr>
          <w:rFonts w:hint="eastAsia" w:ascii="仿宋_GB2312" w:hAnsi="仿宋" w:eastAsia="仿宋_GB2312"/>
          <w:bCs/>
          <w:color w:val="000000"/>
          <w:sz w:val="32"/>
          <w:szCs w:val="32"/>
          <w:highlight w:val="none"/>
          <w:lang w:val="en-US" w:eastAsia="zh-CN"/>
        </w:rPr>
        <w:t xml:space="preserve">  </w:t>
      </w:r>
      <w:r>
        <w:rPr>
          <w:rFonts w:hint="eastAsia" w:ascii="仿宋_GB2312" w:hAnsi="仿宋" w:eastAsia="仿宋_GB2312"/>
          <w:bCs/>
          <w:color w:val="000000"/>
          <w:sz w:val="32"/>
          <w:szCs w:val="32"/>
          <w:highlight w:val="none"/>
        </w:rPr>
        <w:t>本条例经湖南省人民代表大会常务委员会批准后，由永州市人民代表大会常务委员会公布，自</w:t>
      </w:r>
      <w:r>
        <w:rPr>
          <w:rFonts w:hint="eastAsia" w:ascii="仿宋_GB2312" w:hAnsi="仿宋" w:eastAsia="仿宋_GB2312"/>
          <w:bCs/>
          <w:color w:val="000000"/>
          <w:sz w:val="32"/>
          <w:szCs w:val="32"/>
          <w:highlight w:val="none"/>
          <w:lang w:val="en-US" w:eastAsia="zh-CN"/>
        </w:rPr>
        <w:t>2018</w:t>
      </w:r>
      <w:r>
        <w:rPr>
          <w:rFonts w:hint="eastAsia" w:ascii="仿宋_GB2312" w:hAnsi="仿宋" w:eastAsia="仿宋_GB2312"/>
          <w:bCs/>
          <w:color w:val="000000"/>
          <w:sz w:val="32"/>
          <w:szCs w:val="32"/>
          <w:highlight w:val="none"/>
        </w:rPr>
        <w:t>年</w:t>
      </w:r>
      <w:r>
        <w:rPr>
          <w:rFonts w:hint="eastAsia" w:ascii="仿宋_GB2312" w:hAnsi="仿宋" w:eastAsia="仿宋_GB2312"/>
          <w:bCs/>
          <w:color w:val="000000"/>
          <w:sz w:val="32"/>
          <w:szCs w:val="32"/>
          <w:highlight w:val="none"/>
          <w:lang w:val="en-US" w:eastAsia="zh-CN"/>
        </w:rPr>
        <w:t>4</w:t>
      </w:r>
      <w:r>
        <w:rPr>
          <w:rFonts w:hint="eastAsia" w:ascii="仿宋_GB2312" w:hAnsi="仿宋" w:eastAsia="仿宋_GB2312"/>
          <w:bCs/>
          <w:color w:val="000000"/>
          <w:sz w:val="32"/>
          <w:szCs w:val="32"/>
          <w:highlight w:val="none"/>
        </w:rPr>
        <w:t>月</w:t>
      </w:r>
      <w:r>
        <w:rPr>
          <w:rFonts w:hint="eastAsia" w:ascii="仿宋_GB2312" w:hAnsi="仿宋" w:eastAsia="仿宋_GB2312"/>
          <w:bCs/>
          <w:color w:val="000000"/>
          <w:sz w:val="32"/>
          <w:szCs w:val="32"/>
          <w:highlight w:val="none"/>
          <w:lang w:val="en-US" w:eastAsia="zh-CN"/>
        </w:rPr>
        <w:t>1</w:t>
      </w:r>
      <w:r>
        <w:rPr>
          <w:rFonts w:hint="eastAsia" w:ascii="仿宋_GB2312" w:hAnsi="仿宋" w:eastAsia="仿宋_GB2312"/>
          <w:bCs/>
          <w:color w:val="000000"/>
          <w:sz w:val="32"/>
          <w:szCs w:val="32"/>
          <w:highlight w:val="none"/>
        </w:rPr>
        <w:t>日起施行。</w:t>
      </w:r>
    </w:p>
    <w:sectPr>
      <w:footerReference r:id="rId4" w:type="first"/>
      <w:footerReference r:id="rId3" w:type="default"/>
      <w:pgSz w:w="11906" w:h="16838"/>
      <w:pgMar w:top="2154" w:right="1531" w:bottom="1814" w:left="1531" w:header="851" w:footer="1247" w:gutter="0"/>
      <w:paperSrc/>
      <w:pgNumType w:fmt="numberInDash"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9"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ZaFsUBAABrAwAADgAAAGRycy9lMm9Eb2MueG1srVPBjtMwEL0j8Q+W&#10;7zTZSIu6Ud0VaLUICQHSsh/gOk5jyfZYY7dJ+QD4A05cuPNd/Q7GbtNFcENcnLFn5s17M5PV7eQs&#10;22uMBrzgV4uaM+0VdMZvBX/8dP9iyVlM0nfSgteCH3Tkt+vnz1ZjaHUDA9hOIyMQH9sxCD6kFNqq&#10;imrQTsYFBO3J2QM6meiK26pDORK6s1VT1y+rEbALCErHSK93JydfF/y+1yp96PuoE7OCE7dUTizn&#10;Jp/VeiXbLcowGHWmIf+BhZPGU9EL1J1Mku3Q/AXljEKI0KeFAldB3xuliwZSc1X/oeZhkEEXLdSc&#10;GC5tiv8PVr3ff0RmOsEbzrx0NKLjt6/H7z+PP76wm9yeMcSWoh4CxaXpNUw05vk90mNWPfXo8pf0&#10;MPJTow+X5uopMZWTls1yWZNLkW++EH71lB4wpjcaHMuG4EjTK02V+3cxnULnkFzNw72xtkzQejYK&#10;fnPdXJeEi4fAracaWcSJbLbStJnOyjbQHUgYbTAVHAA/czbSNgjuaV05s289NTsvzmzgbGxmQ3pF&#10;iYInznYBzXYoS5YJxvBql4hk4Z4Ln6qd+dBEi/rz9uWV+f1eop7+kf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2WhbFAQAAawMAAA4AAAAAAAAAAQAgAAAAHgEAAGRycy9lMm9Eb2MueG1s&#10;UEsFBgAAAAAGAAYAWQEAAFUFAAAAAA==&#10;">
              <v:fill on="f" focussize="0,0"/>
              <v:stroke on="f"/>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margin">
                <wp:align>inside</wp:align>
              </wp:positionH>
              <wp:positionV relativeFrom="paragraph">
                <wp:posOffset>0</wp:posOffset>
              </wp:positionV>
              <wp:extent cx="179705" cy="278765"/>
              <wp:effectExtent l="0" t="0" r="0" b="0"/>
              <wp:wrapNone/>
              <wp:docPr id="1" name="文本框 8"/>
              <wp:cNvGraphicFramePr/>
              <a:graphic xmlns:a="http://schemas.openxmlformats.org/drawingml/2006/main">
                <a:graphicData uri="http://schemas.microsoft.com/office/word/2010/wordprocessingShape">
                  <wps:wsp>
                    <wps:cNvSpPr txBox="1"/>
                    <wps:spPr>
                      <a:xfrm>
                        <a:off x="0" y="0"/>
                        <a:ext cx="179705" cy="278765"/>
                      </a:xfrm>
                      <a:prstGeom prst="rect">
                        <a:avLst/>
                      </a:prstGeom>
                      <a:noFill/>
                      <a:ln w="9525">
                        <a:noFill/>
                      </a:ln>
                    </wps:spPr>
                    <wps:txbx>
                      <w:txbxContent>
                        <w:p>
                          <w:pPr>
                            <w:rPr>
                              <w:rFonts w:hint="eastAsia"/>
                            </w:rPr>
                          </w:pPr>
                        </w:p>
                      </w:txbxContent>
                    </wps:txbx>
                    <wps:bodyPr wrap="none" lIns="0" tIns="0" rIns="0" bIns="0" upright="0">
                      <a:spAutoFit/>
                    </wps:bodyPr>
                  </wps:wsp>
                </a:graphicData>
              </a:graphic>
            </wp:anchor>
          </w:drawing>
        </mc:Choice>
        <mc:Fallback>
          <w:pict>
            <v:shape id="文本框 8" o:spid="_x0000_s1026" o:spt="202" type="#_x0000_t202" style="position:absolute;left:0pt;margin-top:0pt;height:21.95pt;width:14.15pt;mso-position-horizontal:inside;mso-position-horizontal-relative:margin;mso-wrap-style:none;z-index:251658240;mso-width-relative:page;mso-height-relative:page;" filled="f" stroked="f" coordsize="21600,21600" o:gfxdata="UEsDBAoAAAAAAIdO4kAAAAAAAAAAAAAAAAAEAAAAZHJzL1BLAwQUAAAACACHTuJAN+aH/NIAAAAD&#10;AQAADwAAAGRycy9kb3ducmV2LnhtbE2PwU7DMBBE70j8g7WVuFGnLYIQ4vRQiQs3CqrEbRtv46j2&#10;OrLdNPl7DBe4rDSa0czbejs5K0YKsfesYLUsQBC3XvfcKfj8eL0vQcSErNF6JgUzRdg2tzc1Vtpf&#10;+Z3GfepELuFYoQKT0lBJGVtDDuPSD8TZO/ngMGUZOqkDXnO5s3JdFI/SYc95weBAO0PteX9xCp6m&#10;g6ch0o6+TmMbTD+X9m1W6m6xKl5AJJrSXxh+8DM6NJnp6C+so7AK8iPp92ZvXW5AHBU8bJ5BNrX8&#10;z958A1BLAwQUAAAACACHTuJAdEVS7rwBAABSAwAADgAAAGRycy9lMm9Eb2MueG1srVNLbtswEN0X&#10;yB0I7mspBhw7guWgRZAgQNAGSHIAmiItAvyBQ1vyBdobZJVN9zmXz9EhLdtFsgu6oYYzwzfz3ozm&#10;V73RZCMCKGdrej4qKRGWu0bZVU2fn26+ziiByGzDtLOiplsB9Gpx9mXe+UqMXet0IwJBEAtV52va&#10;xuirogDeCsNg5LywGJQuGBbxGlZFE1iH6EYX47K8KDoXGh8cFwDovd4H6SLjSyl4/CkliEh0TbG3&#10;mM+Qz2U6i8WcVavAfKv40Ab7RBeGKYtFj1DXLDKyDuoDlFE8OHAyjrgzhZNScZE5IJvz8h2bx5Z5&#10;kbmgOOCPMsH/g+U/Ng+BqAZnR4llBke0e/m9e33b/flFZkmezkOFWY8e82L/3fUpdfADOhPrXgaT&#10;vsiHYByF3h7FFX0kPD2aXk7LCSUcQ+PpbHoxSSjF6bEPEG+FMyQZNQ04uywp29xD3KceUlIt626U&#10;1uhnlbakq+nlZDzJD44RBNcWayQK+1aTFftlP/S/dM0WaXU4/5paXFBK9J1FedOqHIxwMJYHY+2D&#10;WrV5l1J58N/WEbvJTaYKe9ihMA4u0xyWLG3Gv/ecdfoVF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N+aH/NIAAAADAQAADwAAAAAAAAABACAAAAAiAAAAZHJzL2Rvd25yZXYueG1sUEsBAhQAFAAA&#10;AAgAh07iQHRFUu68AQAAUgMAAA4AAAAAAAAAAQAgAAAAIQEAAGRycy9lMm9Eb2MueG1sUEsFBgAA&#10;AAAGAAYAWQEAAE8FAAAAAA==&#10;">
              <v:fill on="f" focussize="0,0"/>
              <v:stroke on="f"/>
              <v:imagedata o:title=""/>
              <o:lock v:ext="edit" aspectratio="f"/>
              <v:textbox inset="0mm,0mm,0mm,0mm" style="mso-fit-shape-to-text:t;">
                <w:txbxContent>
                  <w:p>
                    <w:pPr>
                      <w:rPr>
                        <w:rFonts w:hint="eastAsia"/>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14"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VFDbscBAABsAwAADgAAAGRycy9lMm9Eb2MueG1srVPBjtMwEL0j8Q+W&#10;7zRpYVGJ6q5Aq0VICJAWPsB1nMaS7bHGbpPyAfAHnLhw57v6HYzdprtaboiLM/bMvHlvZrK6Hp1l&#10;e43RgBd8Pqs5015Ba/xW8C+fb58tOYtJ+lZa8Frwg478ev30yWoIjV5AD7bVyAjEx2YIgvcphaaq&#10;ouq1k3EGQXtydoBOJrritmpRDoTubLWo65fVANgGBKVjpNebk5OvC37XaZU+dl3UiVnBiVsqJ5Zz&#10;k89qvZLNFmXojTrTkP/AwknjqegF6kYmyXZo/oJyRiFE6NJMgaug64zSRQOpmdeP1Nz1MuiihZoT&#10;w6VN8f/Bqg/7T8hMK/hzzrx0NKLjj+/Hn7+Pv76x+YvcnyHEhsLuAgWm8Q2MNOfpPdJjlj126PKX&#10;BDHyU6cPl+7qMTGVk5aL5bImlyLfdCH86j49YExvNTiWDcGRxle6KvfvYzqFTiG5modbY20ZofVs&#10;EPzV1eKqJFw8BG491cgiTmSzlcbNeFa2gfZAwmiFqWAP+JWzgdZBcE/7ypl956nbeXMmAydjMxnS&#10;K0oUPHG2C2i2fdmyTDCG17tEJAv3XPhU7cyHRlrUn9cv78zDe4m6/0n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eVFDbscBAABsAwAADgAAAAAAAAABACAAAAAeAQAAZHJzL2Uyb0RvYy54&#10;bWxQSwUGAAAAAAYABgBZAQAAVwUAAAAA&#10;">
              <v:fill on="f" focussize="0,0"/>
              <v:stroke on="f"/>
              <v:imagedata o:title=""/>
              <o:lock v:ext="edit" aspectratio="f"/>
              <v:textbox inset="0mm,0mm,0mm,0mm" style="mso-fit-shape-to-text:t;">
                <w:txbxContent>
                  <w:p>
                    <w:pPr>
                      <w:pStyle w:val="2"/>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9055AD"/>
    <w:rsid w:val="000561C5"/>
    <w:rsid w:val="00165305"/>
    <w:rsid w:val="004C5650"/>
    <w:rsid w:val="00503AFD"/>
    <w:rsid w:val="005931D5"/>
    <w:rsid w:val="008D62D1"/>
    <w:rsid w:val="00E80C0D"/>
    <w:rsid w:val="02A67D82"/>
    <w:rsid w:val="031B5153"/>
    <w:rsid w:val="03637A25"/>
    <w:rsid w:val="03A048FA"/>
    <w:rsid w:val="03AE1B6F"/>
    <w:rsid w:val="03FD4331"/>
    <w:rsid w:val="043A69A8"/>
    <w:rsid w:val="05194604"/>
    <w:rsid w:val="052C126E"/>
    <w:rsid w:val="053B3F0C"/>
    <w:rsid w:val="05BA5234"/>
    <w:rsid w:val="0675420D"/>
    <w:rsid w:val="076E4DBE"/>
    <w:rsid w:val="07D065CD"/>
    <w:rsid w:val="07E11C1F"/>
    <w:rsid w:val="08337DDB"/>
    <w:rsid w:val="087075B7"/>
    <w:rsid w:val="09CB0169"/>
    <w:rsid w:val="0A360E96"/>
    <w:rsid w:val="0BB34142"/>
    <w:rsid w:val="0C184937"/>
    <w:rsid w:val="0C2C37AE"/>
    <w:rsid w:val="0C765661"/>
    <w:rsid w:val="0D3573FF"/>
    <w:rsid w:val="0D620588"/>
    <w:rsid w:val="0D763840"/>
    <w:rsid w:val="0DAA2056"/>
    <w:rsid w:val="0DE17B32"/>
    <w:rsid w:val="0DF61199"/>
    <w:rsid w:val="0E18333B"/>
    <w:rsid w:val="0FEE1D8A"/>
    <w:rsid w:val="11520354"/>
    <w:rsid w:val="12443903"/>
    <w:rsid w:val="131A4FF9"/>
    <w:rsid w:val="1370676E"/>
    <w:rsid w:val="13C20EF5"/>
    <w:rsid w:val="13D572FB"/>
    <w:rsid w:val="15121F00"/>
    <w:rsid w:val="15B7257E"/>
    <w:rsid w:val="1614793E"/>
    <w:rsid w:val="16CC6917"/>
    <w:rsid w:val="178E3421"/>
    <w:rsid w:val="182F1E8C"/>
    <w:rsid w:val="18B0313E"/>
    <w:rsid w:val="18C93E88"/>
    <w:rsid w:val="19740104"/>
    <w:rsid w:val="1A144B06"/>
    <w:rsid w:val="1B607002"/>
    <w:rsid w:val="1C17391B"/>
    <w:rsid w:val="1C4C3484"/>
    <w:rsid w:val="1C88512E"/>
    <w:rsid w:val="1C9D2CC2"/>
    <w:rsid w:val="1D7F2A2D"/>
    <w:rsid w:val="1E26294F"/>
    <w:rsid w:val="1E902DD9"/>
    <w:rsid w:val="1F6850F3"/>
    <w:rsid w:val="1FD45C31"/>
    <w:rsid w:val="206902CB"/>
    <w:rsid w:val="20B90848"/>
    <w:rsid w:val="210245AE"/>
    <w:rsid w:val="21223E76"/>
    <w:rsid w:val="21227947"/>
    <w:rsid w:val="214D46CF"/>
    <w:rsid w:val="217C777B"/>
    <w:rsid w:val="219E7E88"/>
    <w:rsid w:val="22440041"/>
    <w:rsid w:val="22C020B0"/>
    <w:rsid w:val="22FA1785"/>
    <w:rsid w:val="234E33CB"/>
    <w:rsid w:val="238E17B1"/>
    <w:rsid w:val="239549D8"/>
    <w:rsid w:val="24245305"/>
    <w:rsid w:val="2456138E"/>
    <w:rsid w:val="24D05460"/>
    <w:rsid w:val="258A1523"/>
    <w:rsid w:val="25D91EE2"/>
    <w:rsid w:val="26321C8D"/>
    <w:rsid w:val="26507A25"/>
    <w:rsid w:val="26B337FF"/>
    <w:rsid w:val="277057EC"/>
    <w:rsid w:val="278465E5"/>
    <w:rsid w:val="281B5053"/>
    <w:rsid w:val="298E4F3F"/>
    <w:rsid w:val="2ABC49B2"/>
    <w:rsid w:val="2AC14330"/>
    <w:rsid w:val="2B6D2024"/>
    <w:rsid w:val="2BB53B0B"/>
    <w:rsid w:val="2C2B10BB"/>
    <w:rsid w:val="2CE61A68"/>
    <w:rsid w:val="2D25338C"/>
    <w:rsid w:val="2D875E22"/>
    <w:rsid w:val="2E387AD3"/>
    <w:rsid w:val="2EDA45D8"/>
    <w:rsid w:val="2EE147ED"/>
    <w:rsid w:val="2F243FA4"/>
    <w:rsid w:val="2F6A04EB"/>
    <w:rsid w:val="2FCE4B39"/>
    <w:rsid w:val="30501642"/>
    <w:rsid w:val="309D5767"/>
    <w:rsid w:val="30B946BB"/>
    <w:rsid w:val="320F3684"/>
    <w:rsid w:val="324647B3"/>
    <w:rsid w:val="32DD791C"/>
    <w:rsid w:val="32FE7FB5"/>
    <w:rsid w:val="337634BA"/>
    <w:rsid w:val="33D65ECF"/>
    <w:rsid w:val="33F154A6"/>
    <w:rsid w:val="341F1A36"/>
    <w:rsid w:val="346D630C"/>
    <w:rsid w:val="34AC288B"/>
    <w:rsid w:val="34B54AE0"/>
    <w:rsid w:val="34F46C02"/>
    <w:rsid w:val="357B55D2"/>
    <w:rsid w:val="35BA6E51"/>
    <w:rsid w:val="37476FE3"/>
    <w:rsid w:val="37AB07C1"/>
    <w:rsid w:val="381C0ADD"/>
    <w:rsid w:val="388316F8"/>
    <w:rsid w:val="39AD4ED1"/>
    <w:rsid w:val="39CC2AAF"/>
    <w:rsid w:val="39F2150B"/>
    <w:rsid w:val="39F80642"/>
    <w:rsid w:val="3BB851A0"/>
    <w:rsid w:val="3C9C653D"/>
    <w:rsid w:val="3D687B74"/>
    <w:rsid w:val="3F471745"/>
    <w:rsid w:val="3FE42E9F"/>
    <w:rsid w:val="40690B9B"/>
    <w:rsid w:val="40F40A74"/>
    <w:rsid w:val="420F017E"/>
    <w:rsid w:val="421469F8"/>
    <w:rsid w:val="421D7788"/>
    <w:rsid w:val="42C851B7"/>
    <w:rsid w:val="42E729DF"/>
    <w:rsid w:val="45333E0A"/>
    <w:rsid w:val="45BA7938"/>
    <w:rsid w:val="45EA0687"/>
    <w:rsid w:val="466343F3"/>
    <w:rsid w:val="46FD413A"/>
    <w:rsid w:val="4704362E"/>
    <w:rsid w:val="471F47E2"/>
    <w:rsid w:val="47D57AB8"/>
    <w:rsid w:val="48574D3E"/>
    <w:rsid w:val="48B125E0"/>
    <w:rsid w:val="48B96BE1"/>
    <w:rsid w:val="4A07244E"/>
    <w:rsid w:val="4A750482"/>
    <w:rsid w:val="4A817601"/>
    <w:rsid w:val="4A8E2599"/>
    <w:rsid w:val="4AC42E32"/>
    <w:rsid w:val="4ACF6C46"/>
    <w:rsid w:val="4AEB7548"/>
    <w:rsid w:val="4E2125F8"/>
    <w:rsid w:val="4E4E6AB2"/>
    <w:rsid w:val="4E5E4DF0"/>
    <w:rsid w:val="4F9C14EA"/>
    <w:rsid w:val="50255DC0"/>
    <w:rsid w:val="523577AB"/>
    <w:rsid w:val="52A83C6D"/>
    <w:rsid w:val="52F71E35"/>
    <w:rsid w:val="53DC31E1"/>
    <w:rsid w:val="53DE26F2"/>
    <w:rsid w:val="5401313A"/>
    <w:rsid w:val="549509AB"/>
    <w:rsid w:val="55780A04"/>
    <w:rsid w:val="558F18F2"/>
    <w:rsid w:val="560B213A"/>
    <w:rsid w:val="56620002"/>
    <w:rsid w:val="57470630"/>
    <w:rsid w:val="57525215"/>
    <w:rsid w:val="576209F7"/>
    <w:rsid w:val="57E066E2"/>
    <w:rsid w:val="58E203B2"/>
    <w:rsid w:val="58E53C5D"/>
    <w:rsid w:val="597172AA"/>
    <w:rsid w:val="598663C9"/>
    <w:rsid w:val="59E0019A"/>
    <w:rsid w:val="5A1E6105"/>
    <w:rsid w:val="5A561E39"/>
    <w:rsid w:val="5B135B3F"/>
    <w:rsid w:val="5B692F77"/>
    <w:rsid w:val="5C9D0AD9"/>
    <w:rsid w:val="5D2821B1"/>
    <w:rsid w:val="5DCE0226"/>
    <w:rsid w:val="5E3C3C1B"/>
    <w:rsid w:val="5E5B6E52"/>
    <w:rsid w:val="600C3A3E"/>
    <w:rsid w:val="6017615D"/>
    <w:rsid w:val="60BD13A7"/>
    <w:rsid w:val="627511F5"/>
    <w:rsid w:val="63510BAF"/>
    <w:rsid w:val="6385111C"/>
    <w:rsid w:val="64406362"/>
    <w:rsid w:val="644B1728"/>
    <w:rsid w:val="64F20957"/>
    <w:rsid w:val="65002117"/>
    <w:rsid w:val="65272570"/>
    <w:rsid w:val="65842E95"/>
    <w:rsid w:val="659358A1"/>
    <w:rsid w:val="675C25E3"/>
    <w:rsid w:val="679953D1"/>
    <w:rsid w:val="680F1441"/>
    <w:rsid w:val="68F206E1"/>
    <w:rsid w:val="690652E5"/>
    <w:rsid w:val="691D49E9"/>
    <w:rsid w:val="69BC2126"/>
    <w:rsid w:val="6A382A9D"/>
    <w:rsid w:val="6AC27FB3"/>
    <w:rsid w:val="6AC54093"/>
    <w:rsid w:val="6AC821CE"/>
    <w:rsid w:val="6B0B444E"/>
    <w:rsid w:val="6B29674D"/>
    <w:rsid w:val="6C65184D"/>
    <w:rsid w:val="6C6C216C"/>
    <w:rsid w:val="6C917401"/>
    <w:rsid w:val="6D2D4C68"/>
    <w:rsid w:val="6D647E13"/>
    <w:rsid w:val="6D9216AA"/>
    <w:rsid w:val="6E3D057B"/>
    <w:rsid w:val="6E4B7AEF"/>
    <w:rsid w:val="6EB07E16"/>
    <w:rsid w:val="6ED778C8"/>
    <w:rsid w:val="6F1A64A7"/>
    <w:rsid w:val="6F8D1A7D"/>
    <w:rsid w:val="70103750"/>
    <w:rsid w:val="70C91E46"/>
    <w:rsid w:val="70EE7D6F"/>
    <w:rsid w:val="719427EA"/>
    <w:rsid w:val="71D92645"/>
    <w:rsid w:val="730B3014"/>
    <w:rsid w:val="736D5021"/>
    <w:rsid w:val="73952AB0"/>
    <w:rsid w:val="73A037C5"/>
    <w:rsid w:val="73E435D9"/>
    <w:rsid w:val="741C0ACF"/>
    <w:rsid w:val="74EB7DCC"/>
    <w:rsid w:val="74FC7B81"/>
    <w:rsid w:val="754B016E"/>
    <w:rsid w:val="7592089B"/>
    <w:rsid w:val="75F03F56"/>
    <w:rsid w:val="763A2AC8"/>
    <w:rsid w:val="786F3E28"/>
    <w:rsid w:val="78762708"/>
    <w:rsid w:val="793B6160"/>
    <w:rsid w:val="79585861"/>
    <w:rsid w:val="798C569D"/>
    <w:rsid w:val="79CD71FA"/>
    <w:rsid w:val="7A1408CC"/>
    <w:rsid w:val="7A1535CA"/>
    <w:rsid w:val="7D9055AD"/>
    <w:rsid w:val="7DAB0733"/>
    <w:rsid w:val="7DE45C3D"/>
    <w:rsid w:val="7E126F67"/>
    <w:rsid w:val="7E33616B"/>
    <w:rsid w:val="7E814919"/>
    <w:rsid w:val="7EBB5328"/>
    <w:rsid w:val="7F042ED0"/>
    <w:rsid w:val="7F1F2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 w:type="paragraph" w:customStyle="1" w:styleId="7">
    <w:name w:val="Style 1"/>
    <w:basedOn w:val="1"/>
    <w:qFormat/>
    <w:uiPriority w:val="0"/>
    <w:pPr>
      <w:autoSpaceDE w:val="0"/>
      <w:autoSpaceDN w:val="0"/>
      <w:adjustRightInd w:val="0"/>
      <w:jc w:val="left"/>
    </w:pPr>
    <w:rPr>
      <w:rFonts w:ascii="Times New Roman" w:hAnsi="Times New Roman" w:eastAsia="宋体" w:cs="Times New Roman"/>
      <w:kern w:val="0"/>
      <w:sz w:val="20"/>
      <w:szCs w:val="20"/>
    </w:rPr>
  </w:style>
  <w:style w:type="character" w:customStyle="1" w:styleId="8">
    <w:name w:val="Character Style 1"/>
    <w:qFormat/>
    <w:uiPriority w:val="0"/>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1480</Words>
  <Characters>8438</Characters>
  <Lines>70</Lines>
  <Paragraphs>19</Paragraphs>
  <ScaleCrop>false</ScaleCrop>
  <LinksUpToDate>false</LinksUpToDate>
  <CharactersWithSpaces>9899</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2017-10-28T01:53:00Z</dcterms:created>
  <dc:creator>THINKPAD</dc:creator>
  <cp:lastModifiedBy>Administrator</cp:lastModifiedBy>
  <cp:lastPrinted>2017-11-20T07:57:18Z</cp:lastPrinted>
  <dcterms:modified xsi:type="dcterms:W3CDTF">2018-01-17T08:24:52Z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