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ind w:right="-94" w:rightChars="-30"/>
        <w:jc w:val="center"/>
        <w:rPr>
          <w:rFonts w:ascii="宋体" w:hAnsi="宋体" w:eastAsia="宋体" w:cs="Arial"/>
          <w:bCs/>
          <w:szCs w:val="32"/>
        </w:rPr>
      </w:pP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</w:rPr>
        <w:t>湖南省人民代表大会常务委员会关于资源税</w:t>
      </w:r>
    </w:p>
    <w:p>
      <w:pPr>
        <w:jc w:val="center"/>
        <w:rPr>
          <w:rFonts w:hint="eastAsia" w:ascii="宋体" w:hAnsi="宋体" w:eastAsia="宋体" w:cs="Arial"/>
          <w:bCs/>
          <w:sz w:val="44"/>
          <w:szCs w:val="44"/>
        </w:rPr>
      </w:pPr>
      <w:r>
        <w:rPr>
          <w:rFonts w:hint="eastAsia" w:ascii="宋体" w:hAnsi="宋体" w:eastAsia="宋体" w:cs="Arial"/>
          <w:bCs/>
          <w:sz w:val="44"/>
          <w:szCs w:val="44"/>
        </w:rPr>
        <w:t>具体适用税率等事项的决定</w:t>
      </w:r>
    </w:p>
    <w:p>
      <w:pPr>
        <w:ind w:left="632" w:leftChars="200" w:right="632" w:rightChars="200"/>
        <w:jc w:val="center"/>
        <w:rPr>
          <w:rFonts w:hint="eastAsia" w:ascii="楷体_GB2312" w:hAnsi="Arial" w:eastAsia="楷体_GB2312" w:cs="Arial"/>
          <w:szCs w:val="32"/>
          <w:lang w:eastAsia="zh-CN"/>
        </w:rPr>
      </w:pPr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eastAsia" w:ascii="楷体_GB2312" w:hAnsi="Arial" w:eastAsia="楷体_GB2312" w:cs="Arial"/>
          <w:szCs w:val="32"/>
          <w:lang w:eastAsia="zh-CN"/>
        </w:rPr>
        <w:t>2020年7月30日湖南省第十三届人民代表大会</w:t>
      </w:r>
    </w:p>
    <w:p>
      <w:pPr>
        <w:ind w:left="632" w:leftChars="200" w:right="632" w:rightChars="200"/>
        <w:jc w:val="center"/>
        <w:rPr>
          <w:rFonts w:hint="eastAsia" w:ascii="楷体_GB2312" w:hAnsi="Arial" w:eastAsia="楷体_GB2312" w:cs="Arial"/>
          <w:szCs w:val="32"/>
        </w:rPr>
      </w:pPr>
      <w:r>
        <w:rPr>
          <w:rFonts w:hint="eastAsia" w:ascii="楷体_GB2312" w:hAnsi="Arial" w:eastAsia="楷体_GB2312" w:cs="Arial"/>
          <w:szCs w:val="32"/>
          <w:lang w:eastAsia="zh-CN"/>
        </w:rPr>
        <w:t>常务委员会第十九次会议通过</w:t>
      </w:r>
      <w:r>
        <w:rPr>
          <w:rFonts w:hint="eastAsia" w:ascii="楷体_GB2312" w:hAnsi="Arial" w:eastAsia="楷体_GB2312" w:cs="Arial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_GB2312"/>
          <w:b/>
          <w:bCs/>
          <w:color w:val="00000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为了促进资源节约集约利用、保护生态环境，根据《中华人民共和国资源税法》（以下简称资源税法）授权规定，结合本省实际，对本省资源税有关事项决定如下：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一、资源税法规定实行幅度税率的税目，具体适用税率按照《湖南省资源税税目税率表》执行。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二、资源税法规定可以选择实行从价计征或者从量计征的税目中，石灰岩、砂石资源税实行从价计征；地热、其他粘土、矿泉水资源税实行从量计征。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三、符合资源税法第七条有关规定的，按照以下办法减征或者免征资源税：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（一）开采或者生产应税产品过程中，因意外事故或者自然灾害等原因遭受重大损失的，按照当年应纳税额的百分之五十减征资源税；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（二）开采共生矿，共生矿与主矿产品销售额分开核算的，对共生矿按照其应纳税额的百分之十减征资源税；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（三）开采伴生矿，伴生矿与主矿产品销售额分开核算的，对伴生矿按照其应纳税额的百分之三十减征资源税；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（四）开采利用尾矿，免征资源税。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纳税人符合上述规定的，可以申报享受税收优惠政策，并将相关材料留存备查。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四、税务机关与自然资源、应急管理、水利等部门应当建立工作配合机制。根据工作需要，税务机关可以要求自然资源、应急管理、水利等部门提供共伴生矿、尾矿、自然灾害、意外事故等证明材料以及与减免税相关的其他信息，相关部门应当在税务机关送达书面函件的三十日内给予回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本决定自2020年9月1日起施行。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附件：湖南省资源税税目税率表</w:t>
      </w:r>
    </w:p>
    <w:p>
      <w:pPr>
        <w:spacing w:line="600" w:lineRule="exact"/>
        <w:ind w:firstLine="632" w:firstLineChars="200"/>
        <w:rPr>
          <w:rFonts w:hint="eastAsia" w:ascii="仿宋" w:hAnsi="仿宋" w:eastAsia="仿宋_GB2312"/>
          <w:b/>
          <w:bCs/>
          <w:color w:val="000000"/>
          <w:sz w:val="32"/>
          <w:szCs w:val="32"/>
          <w:lang w:val="en-US" w:eastAsia="zh-CN"/>
        </w:rPr>
      </w:pPr>
    </w:p>
    <w:p>
      <w:pPr>
        <w:spacing w:line="600" w:lineRule="exact"/>
        <w:ind w:firstLine="632" w:firstLineChars="200"/>
        <w:rPr>
          <w:rFonts w:ascii="仿宋" w:hAnsi="仿宋" w:eastAsia="仿宋_GB2312"/>
          <w:b/>
          <w:bCs/>
          <w:color w:val="000000"/>
          <w:sz w:val="32"/>
          <w:szCs w:val="32"/>
        </w:rPr>
      </w:pPr>
    </w:p>
    <w:p>
      <w:pPr>
        <w:widowControl/>
        <w:spacing w:line="600" w:lineRule="exact"/>
        <w:jc w:val="center"/>
        <w:rPr>
          <w:rFonts w:hint="eastAsia" w:ascii="仿宋" w:hAnsi="仿宋" w:eastAsia="仿宋_GB2312"/>
          <w:b/>
          <w:color w:val="000000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240" w:lineRule="exact"/>
        <w:rPr>
          <w:rFonts w:hint="eastAsia" w:ascii="黑体" w:eastAsia="黑体"/>
          <w:b/>
          <w:color w:val="00000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b w:val="0"/>
          <w:bCs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sz w:val="32"/>
          <w:szCs w:val="32"/>
        </w:rPr>
        <w:br w:type="page"/>
      </w:r>
      <w:r>
        <w:rPr>
          <w:rFonts w:hint="eastAsia" w:ascii="仿宋_GB2312" w:hAnsi="仿宋_GB2312" w:eastAsia="仿宋_GB2312" w:cs="仿宋_GB2312"/>
          <w:b w:val="0"/>
          <w:bCs/>
          <w:color w:val="000000"/>
          <w:sz w:val="32"/>
          <w:szCs w:val="32"/>
        </w:rPr>
        <w:t>附件</w:t>
      </w:r>
    </w:p>
    <w:p>
      <w:pPr>
        <w:adjustRightInd w:val="0"/>
        <w:snapToGrid w:val="0"/>
        <w:spacing w:line="460" w:lineRule="exact"/>
        <w:jc w:val="center"/>
        <w:rPr>
          <w:rFonts w:hint="eastAsia" w:asciiTheme="majorEastAsia" w:hAnsiTheme="majorEastAsia" w:eastAsiaTheme="majorEastAsia" w:cstheme="majorEastAsia"/>
          <w:b w:val="0"/>
          <w:bCs/>
          <w:spacing w:val="-4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pacing w:val="-4"/>
          <w:sz w:val="44"/>
          <w:szCs w:val="44"/>
        </w:rPr>
        <w:t>湖南省资源税税目税率表</w:t>
      </w:r>
    </w:p>
    <w:tbl>
      <w:tblPr>
        <w:tblStyle w:val="4"/>
        <w:tblW w:w="93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1260"/>
        <w:gridCol w:w="3600"/>
        <w:gridCol w:w="1601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tblHeader/>
          <w:jc w:val="center"/>
        </w:trPr>
        <w:tc>
          <w:tcPr>
            <w:tcW w:w="5851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税  目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征税对象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能源矿产</w:t>
            </w:r>
          </w:p>
        </w:tc>
        <w:tc>
          <w:tcPr>
            <w:tcW w:w="4860" w:type="dxa"/>
            <w:gridSpan w:val="2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煤、石煤、天然沥青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煤成（层）气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48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地热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3元/立方米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金属矿产</w:t>
            </w:r>
          </w:p>
        </w:tc>
        <w:tc>
          <w:tcPr>
            <w:tcW w:w="12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黑色金属</w:t>
            </w: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铁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锰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钒、钛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有色金属</w:t>
            </w: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铜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铅、锌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锡、镍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锑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银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FF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钴、锂、锗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铝土矿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金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铂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铌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FF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轻稀土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铍、锆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镁、铋、汞、铷、铯、镓、铟、铊、铪、铼、镉、硒、碲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钽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restart"/>
            <w:noWrap w:val="0"/>
            <w:vAlign w:val="center"/>
          </w:tcPr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非金属矿产</w:t>
            </w: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spacing w:line="800" w:lineRule="exact"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矿物类</w:t>
            </w: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高岭土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石灰岩、砷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磷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石墨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萤石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spacing w:line="380" w:lineRule="exac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硫铁矿、芒硝、硼、重晶石、透辉石、透闪石、红柱石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spacing w:line="380" w:lineRule="exac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spacing w:line="380" w:lineRule="exac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天然石英砂、脉石英、水晶、耐火粘土、海泡石粘土、硅灰石、方解石、云母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粉石英、长石、石榴子石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滑石、石膏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膨润土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陶瓷土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8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adjustRightInd w:val="0"/>
              <w:snapToGrid w:val="0"/>
              <w:spacing w:line="340" w:lineRule="exact"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其他粘土（铸型用粘土、砖瓦用粘土、陶粒用粘土、水泥配料用粘土、水泥配料用红土、水泥配料用黄土、水泥配料用泥岩、保温材料用粘土）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2元/立方米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3元/立方米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岩石类</w:t>
            </w: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大理岩、花岗岩、闪长岩、辉长岩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白云岩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石英岩、辉绿岩、玄武岩、片麻岩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砂岩、板岩、页岩、泥炭、砂石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凝灰岩、泥灰岩、含钾砂页岩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2.5%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宝玉石类</w:t>
            </w:r>
          </w:p>
        </w:tc>
        <w:tc>
          <w:tcPr>
            <w:tcW w:w="3600" w:type="dxa"/>
            <w:vMerge w:val="restart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玉石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26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3600" w:type="dxa"/>
            <w:vMerge w:val="continue"/>
            <w:noWrap w:val="0"/>
            <w:vAlign w:val="center"/>
          </w:tcPr>
          <w:p>
            <w:pPr>
              <w:widowControl/>
              <w:jc w:val="left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7.5%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水气矿产</w:t>
            </w:r>
          </w:p>
        </w:tc>
        <w:tc>
          <w:tcPr>
            <w:tcW w:w="48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矿泉水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原矿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3.5元/立方米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99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盐</w:t>
            </w:r>
          </w:p>
        </w:tc>
        <w:tc>
          <w:tcPr>
            <w:tcW w:w="4860" w:type="dxa"/>
            <w:gridSpan w:val="2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钠盐</w:t>
            </w:r>
          </w:p>
        </w:tc>
        <w:tc>
          <w:tcPr>
            <w:tcW w:w="1601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选矿</w:t>
            </w:r>
          </w:p>
        </w:tc>
        <w:tc>
          <w:tcPr>
            <w:tcW w:w="1895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sz w:val="32"/>
                <w:szCs w:val="32"/>
              </w:rPr>
              <w:t>4%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hanging="929" w:hangingChars="294"/>
        <w:textAlignment w:val="auto"/>
        <w:rPr>
          <w:rFonts w:hint="eastAsia" w:ascii="仿宋_GB2312" w:hAnsi="仿宋_GB2312" w:eastAsia="仿宋_GB2312" w:cs="仿宋_GB2312"/>
          <w:b w:val="0"/>
          <w:bCs/>
          <w:sz w:val="32"/>
          <w:szCs w:val="32"/>
        </w:rPr>
      </w:pPr>
      <w:r>
        <w:rPr>
          <w:rFonts w:hint="eastAsia" w:ascii="仿宋_GB2312" w:hAnsi="仿宋_GB2312" w:eastAsia="仿宋_GB2312" w:cs="仿宋_GB2312"/>
          <w:b w:val="0"/>
          <w:bCs/>
          <w:color w:val="000000"/>
          <w:sz w:val="32"/>
          <w:szCs w:val="32"/>
        </w:rPr>
        <w:t>备注：根据《中华人民共和国资源税法》规定，除上述89个税目外，以下5个税目实行全国统一的固定税率：钨，选矿6.5%；钼，选矿8%；中重稀土，选矿20%；铀、钍，原矿4%。</w:t>
      </w:r>
    </w:p>
    <w:p>
      <w:pPr>
        <w:spacing w:line="600" w:lineRule="exact"/>
        <w:ind w:firstLine="632" w:firstLineChars="200"/>
        <w:rPr>
          <w:rFonts w:hint="eastAsia" w:ascii="仿宋_GB2312" w:hAnsi="仿宋_GB2312" w:eastAsia="仿宋_GB2312" w:cs="仿宋_GB2312"/>
          <w:b w:val="0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600" w:lineRule="exact"/>
        <w:ind w:firstLine="632" w:firstLineChars="200"/>
        <w:rPr>
          <w:rFonts w:hint="eastAsia" w:ascii="黑体" w:hAnsi="Calibri" w:eastAsia="黑体" w:cs="Times New Roman"/>
          <w:bCs/>
          <w:kern w:val="0"/>
          <w:sz w:val="32"/>
          <w:szCs w:val="32"/>
          <w:lang w:val="en-US" w:eastAsia="zh-CN" w:bidi="ar-SA"/>
        </w:rPr>
      </w:pPr>
    </w:p>
    <w:p>
      <w:pPr>
        <w:spacing w:line="560" w:lineRule="exact"/>
      </w:pPr>
      <w:bookmarkStart w:id="0" w:name="_GoBack"/>
      <w:bookmarkEnd w:id="0"/>
    </w:p>
    <w:p>
      <w:pPr>
        <w:ind w:right="-94" w:rightChars="-30" w:firstLine="632" w:firstLineChars="200"/>
        <w:rPr>
          <w:rFonts w:hint="eastAsia" w:ascii="仿宋_GB2312" w:hAnsi="Arial" w:cs="Arial"/>
          <w:kern w:val="0"/>
          <w:szCs w:val="32"/>
        </w:rPr>
      </w:pP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－ </w:t>
    </w:r>
    <w:r>
      <w:rPr>
        <w:rFonts w:ascii="宋体" w:hAnsi="宋体" w:eastAsia="宋体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" w:firstLineChars="10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NotTrackMoves/>
  <w:documentProtection w:enforcement="0"/>
  <w:defaultTabStop w:val="420"/>
  <w:evenAndOddHeaders w:val="true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F7DA8"/>
    <w:rsid w:val="0013352A"/>
    <w:rsid w:val="002E3D11"/>
    <w:rsid w:val="00315BE5"/>
    <w:rsid w:val="00353AD7"/>
    <w:rsid w:val="004A7F50"/>
    <w:rsid w:val="004F542C"/>
    <w:rsid w:val="005C49EF"/>
    <w:rsid w:val="005C72EF"/>
    <w:rsid w:val="00616EB4"/>
    <w:rsid w:val="006D3381"/>
    <w:rsid w:val="00791E20"/>
    <w:rsid w:val="007A6644"/>
    <w:rsid w:val="00867A37"/>
    <w:rsid w:val="00A731D0"/>
    <w:rsid w:val="00A87604"/>
    <w:rsid w:val="00BB0938"/>
    <w:rsid w:val="00BF378A"/>
    <w:rsid w:val="00C16EFC"/>
    <w:rsid w:val="00D0095F"/>
    <w:rsid w:val="00D625F1"/>
    <w:rsid w:val="00D64B65"/>
    <w:rsid w:val="00DB7DE9"/>
    <w:rsid w:val="00DC4D4C"/>
    <w:rsid w:val="00F72984"/>
    <w:rsid w:val="00FA7EE2"/>
    <w:rsid w:val="13FC4C56"/>
    <w:rsid w:val="1EACAF81"/>
    <w:rsid w:val="76EDDE36"/>
    <w:rsid w:val="DFFD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  <w:rPr>
      <w:rFonts w:cs="Times New Roman"/>
    </w:rPr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paragraph" w:customStyle="1" w:styleId="9">
    <w:name w:val="Char Char Char Char Char Char1 Char"/>
    <w:basedOn w:val="1"/>
    <w:qFormat/>
    <w:uiPriority w:val="0"/>
    <w:pPr>
      <w:widowControl/>
      <w:spacing w:after="160" w:line="240" w:lineRule="exact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169</Characters>
  <Lines>1</Lines>
  <Paragraphs>1</Paragraphs>
  <TotalTime>7</TotalTime>
  <ScaleCrop>false</ScaleCrop>
  <LinksUpToDate>false</LinksUpToDate>
  <CharactersWithSpaces>197</CharactersWithSpaces>
  <Application>WPS Office_11.8.2.9520_F1E327BC-269C-435d-A152-05C5408002CA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2017-10-18T09:03:00Z</dcterms:created>
  <dc:creator>YF-INT6</dc:creator>
  <cp:lastModifiedBy>lenovo</cp:lastModifiedBy>
  <dcterms:modified xsi:type="dcterms:W3CDTF">2020-08-26T09:13:03Z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2052-11.8.2.9520</vt:lpwstr>
  </property>
</Properties>
</file>