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BF513D" w:rsidP="00BF513D">
      <w:pPr>
        <w:jc w:val="center"/>
        <w:rPr>
          <w:rFonts w:ascii="宋体" w:eastAsia="宋体" w:hAnsi="宋体" w:cs="Arial"/>
          <w:bCs/>
          <w:sz w:val="44"/>
          <w:szCs w:val="44"/>
        </w:rPr>
      </w:pPr>
      <w:bookmarkStart w:id="0" w:name="Title"/>
      <w:r w:rsidRPr="00140A15" w:rsidR="00D677FE">
        <w:rPr>
          <w:rFonts w:ascii="宋体" w:eastAsia="宋体" w:hAnsi="宋体" w:cs="Arial"/>
          <w:bCs/>
          <w:sz w:val="44"/>
          <w:szCs w:val="44"/>
        </w:rPr>
        <w:t>湖南省先进制造业促进条例</w:t>
      </w:r>
      <w:bookmarkEnd w:id="0"/>
    </w:p>
    <w:p w:rsidR="00834B22" w:rsidRPr="00B90B92" w:rsidP="001D56C5">
      <w:pPr>
        <w:ind w:left="640" w:right="640" w:leftChars="200" w:rightChars="200"/>
        <w:rPr>
          <w:rFonts w:ascii="宋体" w:eastAsia="宋体" w:hAnsi="宋体" w:cs="Arial"/>
          <w:bCs/>
          <w:szCs w:val="32"/>
        </w:rPr>
      </w:pPr>
      <w:bookmarkStart w:id="1" w:name="AddRun"/>
    </w:p>
    <w:p w:rsidR="00834B22" w:rsidRPr="00B90B92" w:rsidP="001D56C5">
      <w:pPr>
        <w:ind w:left="640" w:right="640" w:leftChars="200" w:rightChars="200"/>
        <w:rPr>
          <w:rFonts w:ascii="宋体" w:eastAsia="宋体" w:hAnsi="宋体" w:cs="Arial" w:hint="eastAsia"/>
          <w:bCs/>
          <w:szCs w:val="32"/>
        </w:rPr>
      </w:pPr>
      <w:bookmarkEnd w:id="1"/>
      <w:bookmarkStart w:id="2" w:name="TitleDescription"/>
      <w:r w:rsidRPr="00BF378A" w:rsidR="00226845">
        <w:rPr>
          <w:rFonts w:ascii="楷体_GB2312" w:eastAsia="楷体_GB2312" w:hAnsi="Arial" w:cs="Arial" w:hint="eastAsia"/>
          <w:szCs w:val="32"/>
        </w:rPr>
        <w:t>（2022年1月11日湖南省第十三届人民代表大会常务委员会第二十八次会议通过）</w:t>
      </w:r>
      <w:bookmarkEnd w:id="2"/>
    </w:p>
    <w:p>
      <w:pPr>
        <w:spacing w:line="240" w:lineRule="auto"/>
        <w:ind w:firstLine="0"/>
        <w:jc w:val="both"/>
      </w:pPr>
      <w:r>
        <w:rPr>
          <w:rFonts w:ascii="宋体" w:eastAsia="宋体" w:hAnsi="宋体" w:cs="宋体"/>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为了促进先进制造业高质量发展，培育壮大新兴制造业、推进传统制造业转型升级，打造国家重要先进制造业高地，根据有关法律、行政法规，结合本省实际，制定本条例。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促进先进制造业发展，应当遵循市场主导、政府引导、创新引领、开放带动、统筹推进、区域协同、重点突破的原则。</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县级以上人民政府应当将先进制造业发展纳入国民经济和社会发展规划，建立健全先进制造业发展统筹推进工作机制，协调解决先进制造业发展中的重大问题。</w:t>
      </w:r>
    </w:p>
    <w:p>
      <w:pPr>
        <w:spacing w:line="240" w:lineRule="auto"/>
        <w:ind w:firstLine="640"/>
        <w:jc w:val="both"/>
      </w:pPr>
      <w:r>
        <w:rPr>
          <w:rFonts w:ascii="仿宋_GB2312" w:eastAsia="仿宋_GB2312" w:hAnsi="仿宋_GB2312" w:cs="仿宋_GB2312"/>
          <w:sz w:val="32"/>
        </w:rPr>
        <w:t>县级以上人民政府工业和信息化主管部门负责先进制造业促进协调推进、考核评价等工作。县级以上人民政府其他有关部门按照各自职责做好先进制造业促进工作。</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省人民政府应当组织编制先进制造业发展规划，明确先进制造业发展的总体目标、主要任务、产业布局、工作重点和保障措施等。</w:t>
      </w:r>
    </w:p>
    <w:p>
      <w:pPr>
        <w:spacing w:line="240" w:lineRule="auto"/>
        <w:ind w:firstLine="640"/>
        <w:jc w:val="both"/>
      </w:pPr>
      <w:r>
        <w:rPr>
          <w:rFonts w:ascii="仿宋_GB2312" w:eastAsia="仿宋_GB2312" w:hAnsi="仿宋_GB2312" w:cs="仿宋_GB2312"/>
          <w:sz w:val="32"/>
        </w:rPr>
        <w:t>设区的市（自治州）、县（市、区）人民政府根据省先进制造业发展规划，结合实际制定实施方案。</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省、设区的市（自治州）人民政府应当建立研发支持、应用鼓励、风险代偿机制，扶持基础零部件以及元器件、基础软件、基础材料、基础工艺和产业技术基础等领域的重点企业、重点项目、重点产品，推进产业基础再造。</w:t>
      </w:r>
    </w:p>
    <w:p>
      <w:pPr>
        <w:spacing w:line="240" w:lineRule="auto"/>
        <w:ind w:firstLine="640"/>
        <w:jc w:val="both"/>
      </w:pPr>
      <w:r>
        <w:rPr>
          <w:rFonts w:ascii="仿宋_GB2312" w:eastAsia="仿宋_GB2312" w:hAnsi="仿宋_GB2312" w:cs="仿宋_GB2312"/>
          <w:sz w:val="32"/>
        </w:rPr>
        <w:t>省人民政府工业和信息化主管部门应当会同有关部门建设产业技术基础公共服务平台和工业基础数据库，定期发布产业基础领域技术攻关目录，对取得重大攻关突破并实现产业化的企业或者团队按照规定给予奖励、补助。</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省人民政府应当推动先进制造业重点产业链发展，推进产业链重大项目建设，建立省、设区的市（自治州）联动的产业链链长制。产业链链长和有关部门应当定期调度，及时协调解决产业链重大项目建设和产业发展过程中的困难和问题。</w:t>
      </w:r>
    </w:p>
    <w:p>
      <w:pPr>
        <w:spacing w:line="240" w:lineRule="auto"/>
        <w:ind w:firstLine="640"/>
        <w:jc w:val="both"/>
      </w:pPr>
      <w:r>
        <w:rPr>
          <w:rFonts w:ascii="仿宋_GB2312" w:eastAsia="仿宋_GB2312" w:hAnsi="仿宋_GB2312" w:cs="仿宋_GB2312"/>
          <w:sz w:val="32"/>
        </w:rPr>
        <w:t>鼓励重点产业链相关园区、具有生态主导力的龙头企业担任产业链链主，牵头组建产业链上下游企业共同体，协同开展技术创新和产业化协作。</w:t>
      </w:r>
    </w:p>
    <w:p>
      <w:pPr>
        <w:spacing w:line="240" w:lineRule="auto"/>
        <w:ind w:firstLine="640"/>
        <w:jc w:val="both"/>
      </w:pPr>
      <w:r>
        <w:rPr>
          <w:rFonts w:ascii="仿宋_GB2312" w:eastAsia="仿宋_GB2312" w:hAnsi="仿宋_GB2312" w:cs="仿宋_GB2312"/>
          <w:sz w:val="32"/>
        </w:rPr>
        <w:t>省人民政府应当建立政府扶持与产业链龙头企业招商引资挂钩机制,引导龙头企业吸引上下游企业来本省投资。</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本省重点打造工程机械、轨道交通装备、中小航空发动机以及航空航天装备和电子信息、新材料、新能源与节能、输变电装备等先进制造业产业集群，推动石化、有色金属、汽车制造、冶炼压延加工、农业机械等传统优势产业集群转型升级，培育人工智能、工业互联网、生态环保、生物技术、药品、医疗器械等未来以及新兴支柱产业集群。</w:t>
      </w:r>
    </w:p>
    <w:p>
      <w:pPr>
        <w:spacing w:line="240" w:lineRule="auto"/>
        <w:ind w:firstLine="640"/>
        <w:jc w:val="both"/>
      </w:pPr>
      <w:r>
        <w:rPr>
          <w:rFonts w:ascii="仿宋_GB2312" w:eastAsia="仿宋_GB2312" w:hAnsi="仿宋_GB2312" w:cs="仿宋_GB2312"/>
          <w:sz w:val="32"/>
        </w:rPr>
        <w:t>省、设区的市（自治州）、有条件的县（市、区）人民政府应当统筹产业集群区域布局，建立产业集群梯次培育体系，依托龙头企业、科研院所、行业协会、产业联盟、咨询机构等主体建立产业集群促进组织，创新产业集群治理模式。</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省、设区的市（自治州）人民政府应当加强对产业园区发展先进制造业的规划引导，推动园区市场化、差异化、特色化发展，避免同质化竞争。鼓励国家级园区与省级园区建立梯度布局、利益共享、资源互补、协同发展的共同体。</w:t>
      </w:r>
    </w:p>
    <w:p>
      <w:pPr>
        <w:spacing w:line="240" w:lineRule="auto"/>
        <w:ind w:firstLine="640"/>
        <w:jc w:val="both"/>
      </w:pPr>
      <w:r>
        <w:rPr>
          <w:rFonts w:ascii="仿宋_GB2312" w:eastAsia="仿宋_GB2312" w:hAnsi="仿宋_GB2312" w:cs="仿宋_GB2312"/>
          <w:sz w:val="32"/>
        </w:rPr>
        <w:t>省人民政府应当对设区的市、自治州人民政府和省级以上园区先进制造业发展工作进行专项考核，并建立考核结果与省级专项支持挂钩机制。</w:t>
      </w:r>
    </w:p>
    <w:p>
      <w:pPr>
        <w:spacing w:line="240" w:lineRule="auto"/>
        <w:ind w:firstLine="640"/>
        <w:jc w:val="both"/>
      </w:pPr>
      <w:r>
        <w:rPr>
          <w:rFonts w:ascii="仿宋_GB2312" w:eastAsia="仿宋_GB2312" w:hAnsi="仿宋_GB2312" w:cs="仿宋_GB2312"/>
          <w:sz w:val="32"/>
        </w:rPr>
        <w:t>鼓励有条件的园区开展制造业高质量发展改革试验，建立以亩均税收、土地节约集约利用、主导产业发展、开放型经济发展、科技创新、节能减排和环境保护等指标为核心内容的园区综合评价体系，创建制造业高质量发展示范园区。</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县级以上人民政府应当制定先进制造业企业培育指导计划,提供从技术孵化到企业、产业以及产业集群的全周期服务，加强企业梯度培育，推动建设领航企业、单项冠军企业、专精特新“小巨人”企业等协同发展新格局。</w:t>
      </w:r>
    </w:p>
    <w:p>
      <w:pPr>
        <w:spacing w:line="240" w:lineRule="auto"/>
        <w:ind w:firstLine="640"/>
        <w:jc w:val="both"/>
      </w:pPr>
      <w:r>
        <w:rPr>
          <w:rFonts w:ascii="仿宋_GB2312" w:eastAsia="仿宋_GB2312" w:hAnsi="仿宋_GB2312" w:cs="仿宋_GB2312"/>
          <w:sz w:val="32"/>
        </w:rPr>
        <w:t>县级以上人民政府应当加强企业家的培养工作,制定先进制造业领域企业家培训计划，培养具有战略思维、资本运作、风险管控、自主创新能力和国际视野的企业家队伍,提高企业的经营管理水平和国际竞争力。</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省人民政府及其有关部门应当建立健全产业技术创新体系，采取有效措施，支持国家重大科技基础设施、国家重点实验室、国家技术创新中心、国家产业创新中心、国家制造业创新中心等重大创新平台在本省落户或者设立分中心。</w:t>
      </w:r>
    </w:p>
    <w:p>
      <w:pPr>
        <w:spacing w:line="240" w:lineRule="auto"/>
        <w:ind w:firstLine="640"/>
        <w:jc w:val="both"/>
      </w:pPr>
      <w:r>
        <w:rPr>
          <w:rFonts w:ascii="仿宋_GB2312" w:eastAsia="仿宋_GB2312" w:hAnsi="仿宋_GB2312" w:cs="仿宋_GB2312"/>
          <w:sz w:val="32"/>
        </w:rPr>
        <w:t>省人民政府及其有关部门应当支持行业龙头企业联合高等院校、科研院所和行业上下游企业共同承担国家重大科技项目，开展制约产业发展的关键技术攻关与成果转化。</w:t>
      </w:r>
    </w:p>
    <w:p>
      <w:pPr>
        <w:spacing w:line="240" w:lineRule="auto"/>
        <w:ind w:firstLine="640"/>
        <w:jc w:val="both"/>
      </w:pPr>
      <w:r>
        <w:rPr>
          <w:rFonts w:ascii="仿宋_GB2312" w:eastAsia="仿宋_GB2312" w:hAnsi="仿宋_GB2312" w:cs="仿宋_GB2312"/>
          <w:sz w:val="32"/>
        </w:rPr>
        <w:t>县级以上人民政府应当建立激励和风险补偿机制，推动首台（套）重大技术装备、首批次材料、首版次软件、首套件基础零部件以及元器件等示范应用，推广应用新技术、新产品、新服务。</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县级以上人民政府应当加强节能监察和节能诊断，推广绿色设计、绿色制造和清洁生产，加快制造业绿色低碳转型，构造绿色制造体系，推进碳达峰、碳中和。</w:t>
      </w:r>
    </w:p>
    <w:p>
      <w:pPr>
        <w:spacing w:line="240" w:lineRule="auto"/>
        <w:ind w:firstLine="640"/>
        <w:jc w:val="both"/>
      </w:pPr>
      <w:r>
        <w:rPr>
          <w:rFonts w:ascii="仿宋_GB2312" w:eastAsia="仿宋_GB2312" w:hAnsi="仿宋_GB2312" w:cs="仿宋_GB2312"/>
          <w:sz w:val="32"/>
        </w:rPr>
        <w:t>支持企业、园区、行业间合作开展绿色制造技术改造，发展绿色循环经济。</w:t>
      </w:r>
    </w:p>
    <w:p>
      <w:pPr>
        <w:spacing w:line="240" w:lineRule="auto"/>
        <w:ind w:firstLine="640"/>
        <w:jc w:val="both"/>
      </w:pPr>
      <w:r>
        <w:rPr>
          <w:rFonts w:ascii="仿宋_GB2312" w:eastAsia="仿宋_GB2312" w:hAnsi="仿宋_GB2312" w:cs="仿宋_GB2312"/>
          <w:sz w:val="32"/>
        </w:rPr>
        <w:t>县级以上人民政府生态环境主管部门应当加强先进制造业项目选址选线、生态环保措施的指导，协调解决环境制约问题。</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县级以上人民政府应当支持先进制造业企业加强国际交流合作，开展产品国际认证、申请境外专利、商标国际注册和参与国际标准制定等活动。</w:t>
      </w:r>
    </w:p>
    <w:p>
      <w:pPr>
        <w:spacing w:line="240" w:lineRule="auto"/>
        <w:ind w:firstLine="640"/>
        <w:jc w:val="both"/>
      </w:pPr>
      <w:r>
        <w:rPr>
          <w:rFonts w:ascii="仿宋_GB2312" w:eastAsia="仿宋_GB2312" w:hAnsi="仿宋_GB2312" w:cs="仿宋_GB2312"/>
          <w:sz w:val="32"/>
        </w:rPr>
        <w:t>县级以上人民政府应当对接长江经济带发展、粤港澳大湾区建设等国家战略，依托中国（湖南）自由贸易试验区建设，搭建省市县联动招商网络，吸引外资投资本地先进制造业领域。</w:t>
      </w:r>
    </w:p>
    <w:p>
      <w:pPr>
        <w:spacing w:line="240" w:lineRule="auto"/>
        <w:ind w:firstLine="640"/>
        <w:jc w:val="both"/>
      </w:pPr>
      <w:r>
        <w:rPr>
          <w:rFonts w:ascii="仿宋_GB2312" w:eastAsia="仿宋_GB2312" w:hAnsi="仿宋_GB2312" w:cs="仿宋_GB2312"/>
          <w:sz w:val="32"/>
        </w:rPr>
        <w:t>鼓励跨国公司在本省设立地区总部和先进制造业研发中心，建立整合贸易、物流、结算等功能的营运中心。在湘注册的外资研发机构在本省范围内开展研发活动，享受与省内研发机构同等政策。</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县级以上人民政府应当因地制宜制定差异化政策，统筹推进新一代信息技术与先进制造业融合，推进工业互联网平台建设以及应用，推动制造业企业研发设计、生产制造、经营管理、市场服务等场景数字化改造、网络化集成，支持有条件的企业通过技术改造建设智能工位、智能产线、智能车间、智能工厂，推动园区和产业集聚区数字化转型。</w:t>
      </w:r>
    </w:p>
    <w:p>
      <w:pPr>
        <w:spacing w:line="240" w:lineRule="auto"/>
        <w:ind w:firstLine="640"/>
        <w:jc w:val="both"/>
      </w:pPr>
      <w:r>
        <w:rPr>
          <w:rFonts w:ascii="仿宋_GB2312" w:eastAsia="仿宋_GB2312" w:hAnsi="仿宋_GB2312" w:cs="仿宋_GB2312"/>
          <w:sz w:val="32"/>
        </w:rPr>
        <w:t>省人民政府工业和信息化主管部门应当建立健全数字化公共服务生态，制定分级分类规范，支持制造业数字化、网络化、智能化改造试点项目，培育示范应用场景和标杆企业。</w:t>
      </w:r>
    </w:p>
    <w:p>
      <w:pPr>
        <w:spacing w:line="240" w:lineRule="auto"/>
        <w:ind w:firstLine="640"/>
        <w:jc w:val="both"/>
      </w:pPr>
      <w:r>
        <w:rPr>
          <w:rFonts w:ascii="仿宋_GB2312" w:eastAsia="仿宋_GB2312" w:hAnsi="仿宋_GB2312" w:cs="仿宋_GB2312"/>
          <w:sz w:val="32"/>
        </w:rPr>
        <w:t>支持园区规划建设网络系统、公共云平台、数据采集和传输系统等基础设施。支持发展中央工厂、协同制造、共享制造等智能发展新模式。</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县级以上人民政府应当支持先进制造业企业发展在线监测和运行维护、产品全生命周期管理、总集成总承包服务等新模式新业态，鼓励发展面向本地先进制造业的生产性金融服务、电子商务、现代物流服务、检验检测认证服务、工业设计、科技服务等生产性服务业。</w:t>
      </w:r>
    </w:p>
    <w:p>
      <w:pPr>
        <w:spacing w:line="240" w:lineRule="auto"/>
        <w:ind w:firstLine="640"/>
        <w:jc w:val="both"/>
      </w:pPr>
      <w:r>
        <w:rPr>
          <w:rFonts w:ascii="仿宋_GB2312" w:eastAsia="仿宋_GB2312" w:hAnsi="仿宋_GB2312" w:cs="仿宋_GB2312"/>
          <w:sz w:val="32"/>
        </w:rPr>
        <w:t>省人民政府工业和信息化主管部门应当依托先进制造业重点产业集群和园区,支持建设一批服务型制造功能区和工业设计中心，推动与先进制造业紧密相连的生产性服务企业向产业集群和园区集聚。</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县级以上人民政府应当实施品牌提升工程,加强先进制造业品牌建设,发展品牌文化,培育产业、企业、产品品牌。</w:t>
      </w:r>
    </w:p>
    <w:p>
      <w:pPr>
        <w:spacing w:line="240" w:lineRule="auto"/>
        <w:ind w:firstLine="640"/>
        <w:jc w:val="both"/>
      </w:pPr>
      <w:r>
        <w:rPr>
          <w:rFonts w:ascii="仿宋_GB2312" w:eastAsia="仿宋_GB2312" w:hAnsi="仿宋_GB2312" w:cs="仿宋_GB2312"/>
          <w:sz w:val="32"/>
        </w:rPr>
        <w:t>县级以上人民政府应当完善质量监管体系,强化先进制造业企业质量主体责任,建立健全质量安全预警、产品全生命周期质量追溯、售后服务等制度。加强本省知名品牌培育和宣传推介,依托中国品牌日、国家级会展等公共平台,塑造湖南先进制造业产品和服务高质量形象。</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县级以上人民政府编制国土空间规划应当统筹考虑先进制造业发展需求，鼓励划设工业用地控制线，严格控制工业用地转为其他用地，在土地利用年度计划中安排一定用地指标，优先用于先进制造业项目预支使用。</w:t>
      </w:r>
    </w:p>
    <w:p>
      <w:pPr>
        <w:spacing w:line="240" w:lineRule="auto"/>
        <w:ind w:firstLine="640"/>
        <w:jc w:val="both"/>
      </w:pPr>
      <w:r>
        <w:rPr>
          <w:rFonts w:ascii="仿宋_GB2312" w:eastAsia="仿宋_GB2312" w:hAnsi="仿宋_GB2312" w:cs="仿宋_GB2312"/>
          <w:sz w:val="32"/>
        </w:rPr>
        <w:t>县级以上人民政府自然资源主管部门应当对制造业项目用地强度、利用结构、投入产出、亩均税收等指标进行监测评价，完善闲置用地盘活机制和低效用地退出机制。省人民政府自然资源主管部门对节约集约用地评价排名靠前的园区应当给予新增用地指标奖励，设区的市（自治州）、县（市、区）人民政府自然资源主管部门对节约集约用地评价排名靠前的企业应当给予容积率指标奖励。</w:t>
      </w:r>
    </w:p>
    <w:p>
      <w:pPr>
        <w:spacing w:line="240" w:lineRule="auto"/>
        <w:ind w:firstLine="640"/>
        <w:jc w:val="both"/>
      </w:pPr>
      <w:r>
        <w:rPr>
          <w:rFonts w:ascii="仿宋_GB2312" w:eastAsia="仿宋_GB2312" w:hAnsi="仿宋_GB2312" w:cs="仿宋_GB2312"/>
          <w:sz w:val="32"/>
        </w:rPr>
        <w:t>县级以上人民政府有关部门应当通过采用弹性年期出让、租赁、先租赁后转让等多种供地方式，开展地质灾害、水土保持等一揽子评估，推进区域评估成果共享互认，科学规划园区基础设施和生活服务设施等，保障先进制造业企业用地。</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省、设区的市（自治州）人民政府以及有条件的县（市、区）人民政府应当根据实际情况安排先进制造业发展资金，建立健全以股权投资、财政贴息、事后奖补为主的激励型财政支持机制。省人民政府设立的相关政府产业投资基金，应当优先支持先进制造业发展，引导和带动社会资本支持先进制造业企业。</w:t>
      </w:r>
    </w:p>
    <w:p>
      <w:pPr>
        <w:spacing w:line="240" w:lineRule="auto"/>
        <w:ind w:firstLine="640"/>
        <w:jc w:val="both"/>
      </w:pPr>
      <w:r>
        <w:rPr>
          <w:rFonts w:ascii="仿宋_GB2312" w:eastAsia="仿宋_GB2312" w:hAnsi="仿宋_GB2312" w:cs="仿宋_GB2312"/>
          <w:sz w:val="32"/>
        </w:rPr>
        <w:t>县级以上人民政府应当建立融资风险补偿机制,为金融机构开展针对先进制造业企业的融资业务提供风险补偿。</w:t>
      </w:r>
    </w:p>
    <w:p>
      <w:pPr>
        <w:spacing w:line="240" w:lineRule="auto"/>
        <w:ind w:firstLine="640"/>
        <w:jc w:val="both"/>
      </w:pPr>
      <w:r>
        <w:rPr>
          <w:rFonts w:ascii="仿宋_GB2312" w:eastAsia="仿宋_GB2312" w:hAnsi="仿宋_GB2312" w:cs="仿宋_GB2312"/>
          <w:sz w:val="32"/>
        </w:rPr>
        <w:t>省、设区的市（自治州）人民政府应当对争取国家专项、国家基金、国家特殊政策、重大科研项目和重大产业项目落户本省按照规定提供配套政策支持。</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支持先进制造业企业通过首发上市和发行公司债、企业债、非金融企业债务融资工具等方式融资。</w:t>
      </w:r>
    </w:p>
    <w:p>
      <w:pPr>
        <w:spacing w:line="240" w:lineRule="auto"/>
        <w:ind w:firstLine="640"/>
        <w:jc w:val="both"/>
      </w:pPr>
      <w:r>
        <w:rPr>
          <w:rFonts w:ascii="仿宋_GB2312" w:eastAsia="仿宋_GB2312" w:hAnsi="仿宋_GB2312" w:cs="仿宋_GB2312"/>
          <w:sz w:val="32"/>
        </w:rPr>
        <w:t>支持银行机构与产业投资基金、证券、保险、政府性融资担保机构等合作，加大对先进制造业的信贷支持力度，推动金融机构提高先进制造业中长期贷款和信用贷款占比，鼓励其依托先进制造业产业链核心企业开展仓单质押贷款、应收账款质押贷款、票据贴现、保理、国际国内信用证等产业链金融业务。</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县级以上人民政府应当加大先进制造业领域人才的全方位培养、引进和使用力度，加强专业化领导干部、高层次复合型人才、青年科技人才、卓越工程师培养和技术管理团队、技能人才队伍、专业智库建设。</w:t>
      </w:r>
    </w:p>
    <w:p>
      <w:pPr>
        <w:spacing w:line="240" w:lineRule="auto"/>
        <w:ind w:firstLine="640"/>
        <w:jc w:val="both"/>
      </w:pPr>
      <w:r>
        <w:rPr>
          <w:rFonts w:ascii="仿宋_GB2312" w:eastAsia="仿宋_GB2312" w:hAnsi="仿宋_GB2312" w:cs="仿宋_GB2312"/>
          <w:sz w:val="32"/>
        </w:rPr>
        <w:t>省人民政府人力资源社会保障主管部门、教育主管部门、工业和信息化主管部门应当加强先进制造业人才需求预测，开展职业技能培训和职业教育，推行现代学徒制和企业新型学徒制，支持职业院校开展补贴性职业技能培训，完善产教融合的人才培养模式，通过政府购买服务、校企合作等方式支持、引导社会力量参与紧缺人才培养。</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县级以上人民政府应当建立以创新价值、能力、贡献为导向的先进制造业人才评价、激励机制。</w:t>
      </w:r>
    </w:p>
    <w:p>
      <w:pPr>
        <w:spacing w:line="240" w:lineRule="auto"/>
        <w:ind w:firstLine="640"/>
        <w:jc w:val="both"/>
      </w:pPr>
      <w:r>
        <w:rPr>
          <w:rFonts w:ascii="仿宋_GB2312" w:eastAsia="仿宋_GB2312" w:hAnsi="仿宋_GB2312" w:cs="仿宋_GB2312"/>
          <w:sz w:val="32"/>
        </w:rPr>
        <w:t>赋予主要科研人员在先进制造业重大科研项目中的技术路线决定权、经费支配权、资源调度权。赋予符合条件的大型先进制造业企业高级职称评审权，具体办法由省人民政府相关主管部门制定。</w:t>
      </w:r>
    </w:p>
    <w:p>
      <w:pPr>
        <w:spacing w:line="240" w:lineRule="auto"/>
        <w:ind w:firstLine="640"/>
        <w:jc w:val="both"/>
      </w:pPr>
      <w:r>
        <w:rPr>
          <w:rFonts w:ascii="仿宋_GB2312" w:eastAsia="仿宋_GB2312" w:hAnsi="仿宋_GB2312" w:cs="仿宋_GB2312"/>
          <w:sz w:val="32"/>
        </w:rPr>
        <w:t>对省级以上重点产业项目引进的、在长沙市以外地方工作的先进制造业主要科研人员，省、长沙市人民政府应当为其在长沙市开展科研活动以及居留落户、租购住房、社保医保、子女入学、配偶就业、项目孵化、资金支持、职称评聘、出入境、医疗康养等提供高效便捷服务。</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省人民政府应当组建专家咨询委员会，围绕先进制造业发展规划编制、政策措施制定、关键技术攻关、重大项目推进等开展决策研究。</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县级以上人民政府和其他有关国家机关应当优化先进制造业营商环境，构建亲清政商关系，坚持法治原则、竞争中性原则，保障各种所有制先进制造业企业平等使用资源要素、公开公平公正参与竞争，依法保护企业产权和企业家权益。</w:t>
      </w:r>
    </w:p>
    <w:p>
      <w:pPr>
        <w:spacing w:line="240" w:lineRule="auto"/>
        <w:ind w:firstLine="640"/>
        <w:jc w:val="both"/>
      </w:pPr>
      <w:r>
        <w:rPr>
          <w:rFonts w:ascii="仿宋_GB2312" w:eastAsia="仿宋_GB2312" w:hAnsi="仿宋_GB2312" w:cs="仿宋_GB2312"/>
          <w:sz w:val="32"/>
        </w:rPr>
        <w:t>县级以上人民政府应当推动有关部门、金融机构、电力企业、运输企业等提升服务质量和效率，降低制造业领域制度性交易成本、融资成本和工业用电、物流等要素成本。</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县级以上人民政府制定对先进制造业企业利益、权利义务、正常生产经营有重大影响的政策，应当事先征求相关企业的意见。对可能增加企业成本、影响企业正常生产经营的政策调整，应当合理设置缓冲过渡期。</w:t>
      </w:r>
    </w:p>
    <w:p>
      <w:pPr>
        <w:spacing w:line="240" w:lineRule="auto"/>
        <w:ind w:firstLine="640"/>
        <w:jc w:val="both"/>
      </w:pPr>
      <w:r>
        <w:rPr>
          <w:rFonts w:ascii="仿宋_GB2312" w:eastAsia="仿宋_GB2312" w:hAnsi="仿宋_GB2312" w:cs="仿宋_GB2312"/>
          <w:sz w:val="32"/>
        </w:rPr>
        <w:t>对国家和省“免申即享”的惠企政策，县级以上人民政府工业和信息化主管部门应当及时、准确向企业推送并指导帮助企业落实。</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县级以上人民政府、部门及其工作人员在先进制造业促进工作中因先行先试，未达到预期效果，但符合以下情形的，可以予以免责：</w:t>
      </w:r>
    </w:p>
    <w:p>
      <w:pPr>
        <w:spacing w:line="240" w:lineRule="auto"/>
        <w:ind w:firstLine="640"/>
        <w:jc w:val="both"/>
      </w:pPr>
      <w:r>
        <w:rPr>
          <w:rFonts w:ascii="仿宋_GB2312" w:eastAsia="仿宋_GB2312" w:hAnsi="仿宋_GB2312" w:cs="仿宋_GB2312"/>
          <w:sz w:val="32"/>
        </w:rPr>
        <w:t>（一）决策和实施程序符合法律、法规以及国家和省的政策规定；</w:t>
      </w:r>
    </w:p>
    <w:p>
      <w:pPr>
        <w:spacing w:line="240" w:lineRule="auto"/>
        <w:ind w:firstLine="640"/>
        <w:jc w:val="both"/>
      </w:pPr>
      <w:r>
        <w:rPr>
          <w:rFonts w:ascii="仿宋_GB2312" w:eastAsia="仿宋_GB2312" w:hAnsi="仿宋_GB2312" w:cs="仿宋_GB2312"/>
          <w:sz w:val="32"/>
        </w:rPr>
        <w:t>（二）个人和单位未牟取不正当利益；</w:t>
      </w:r>
    </w:p>
    <w:p>
      <w:pPr>
        <w:spacing w:line="240" w:lineRule="auto"/>
        <w:ind w:firstLine="640"/>
        <w:jc w:val="both"/>
      </w:pPr>
      <w:r>
        <w:rPr>
          <w:rFonts w:ascii="仿宋_GB2312" w:eastAsia="仿宋_GB2312" w:hAnsi="仿宋_GB2312" w:cs="仿宋_GB2312"/>
          <w:sz w:val="32"/>
        </w:rPr>
        <w:t>（三）未与其他单位和个人恶意串通，损害公共利益和他人合法权益。</w:t>
      </w:r>
    </w:p>
    <w:p>
      <w:pPr>
        <w:spacing w:line="240" w:lineRule="auto"/>
        <w:ind w:firstLine="640"/>
        <w:jc w:val="both"/>
      </w:pPr>
      <w:r>
        <w:rPr>
          <w:rFonts w:ascii="仿宋_GB2312" w:eastAsia="仿宋_GB2312" w:hAnsi="仿宋_GB2312" w:cs="仿宋_GB2312"/>
          <w:sz w:val="32"/>
        </w:rPr>
        <w:t>高等院校、科研机构、国有企业、事业单位在先进制造业促进工作中，未达到预期效果或者因成果转化后续价值发生变化造成损失，其负责人已经履行应尽职责、未牟取不正当利益的，负责人不承担相关责任。</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省人民政府应当定期向省人民代表大会常务委员会报告先进制造业促进工作情况。</w:t>
      </w:r>
    </w:p>
    <w:p>
      <w:pPr>
        <w:spacing w:line="240" w:lineRule="auto"/>
        <w:ind w:firstLine="640"/>
        <w:jc w:val="both"/>
      </w:pPr>
      <w:r>
        <w:rPr>
          <w:rFonts w:ascii="仿宋_GB2312" w:eastAsia="仿宋_GB2312" w:hAnsi="仿宋_GB2312" w:cs="仿宋_GB2312"/>
          <w:sz w:val="32"/>
        </w:rPr>
        <w:t>县级以上人民代表大会常务委员会应当加强对本行政区域内先进制造业促进工作的监督。</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本条例自2022年3月1日起施行。</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auto"/>
    <w:pitch w:val="default"/>
    <w:sig w:usb0="00000000" w:usb1="00000000" w:usb2="00000000" w:usb3="00000000" w:csb0="00040000" w:csb1="00000000"/>
  </w:font>
  <w:font w:name="Calibri">
    <w:panose1 w:val="020F0502020204030204"/>
    <w:charset w:val="00"/>
    <w:family w:val="swiss"/>
    <w:pitch w:val="variable"/>
    <w:sig w:usb0="E4002EFF" w:usb1="C000247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00420DB2">
      <w:rPr>
        <w:rFonts w:ascii="宋体" w:eastAsia="宋体" w:hAnsi="宋体" w:hint="eastAsia"/>
        <w:sz w:val="28"/>
        <w:szCs w:val="28"/>
      </w:rPr>
      <w:t>　</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420DB2">
      <w:rPr>
        <w:rFonts w:ascii="宋体" w:eastAsia="宋体" w:hAnsi="宋体" w:hint="eastAsia"/>
        <w:sz w:val="28"/>
        <w:szCs w:val="28"/>
      </w:rPr>
      <w:t>　</w:t>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00420DB2">
      <w:rPr>
        <w:rFonts w:ascii="宋体" w:eastAsia="宋体" w:hAnsi="宋体" w:hint="eastAsia"/>
        <w:sz w:val="28"/>
        <w:szCs w:val="28"/>
      </w:rPr>
      <w:t>　</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420DB2">
      <w:rPr>
        <w:rFonts w:ascii="宋体" w:eastAsia="宋体" w:hAnsi="宋体" w:hint="eastAsia"/>
        <w:sz w:val="28"/>
        <w:szCs w:val="28"/>
      </w:rPr>
      <w:t>　</w:t>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Wang Yuzhou</cp:lastModifiedBy>
  <cp:revision>13</cp:revision>
  <dcterms:created xsi:type="dcterms:W3CDTF">2017-11-15T02:33:00Z</dcterms:created>
  <dcterms:modified xsi:type="dcterms:W3CDTF">2022-01-07T07:45:00Z</dcterms:modified>
</cp:coreProperties>
</file>