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湖南省南岳衡山风景名胜区保护条例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2005年9月29日湖南省第十届人民代表大会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常务委员会第十七次会议通过　根据2011年3月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30日湖南省第十一届人民代表大会常务委员会第二十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一次会议《关修改湖南省南岳衡山风景名胜区保护</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条例决定》第一次修正　根据2018年7月19日</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湖南省第十三届人民代表大会常务委员会第五次会议</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《关于修改湖南省实施中华人民共和国水土保持法</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办法十一件地方性法规决定》第二次修正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保护</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建设</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为了加强对南岳衡山风景名胜区的保护，根据有关法律、法规，结合南岳衡山风景名胜区实际，制定本条例。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南岳衡山风景名胜区由风景游览区和风景复育区组成，具体范围和界线按照国务院批准的总体规划确定。</w:t>
      </w:r>
    </w:p>
    <w:p>
      <w:pPr>
        <w:spacing w:line="240" w:lineRule="auto"/>
        <w:ind w:firstLine="640"/>
        <w:jc w:val="both"/>
      </w:pPr>
      <w:r>
        <w:rPr>
          <w:rFonts w:ascii="仿宋_GB2312" w:eastAsia="仿宋_GB2312" w:hAnsi="仿宋_GB2312" w:cs="仿宋_GB2312"/>
          <w:sz w:val="32"/>
        </w:rPr>
        <w:t>风景游览区包括祝融峰景区、磨镜台景区、忠烈祠景区、藏经殿景区、禹王城景区、五岳溪景区、水帘洞景区、卧虎潭景区、方广寺景区、芷观溪景区、古镇景区，其中祝融峰景区、磨镜台景区、忠烈祠景区、藏经殿景区、禹王城景区为核心景区。</w:t>
      </w:r>
    </w:p>
    <w:p>
      <w:pPr>
        <w:spacing w:line="240" w:lineRule="auto"/>
        <w:ind w:firstLine="640"/>
        <w:jc w:val="both"/>
      </w:pPr>
      <w:r>
        <w:rPr>
          <w:rFonts w:ascii="仿宋_GB2312" w:eastAsia="仿宋_GB2312" w:hAnsi="仿宋_GB2312" w:cs="仿宋_GB2312"/>
          <w:sz w:val="32"/>
        </w:rPr>
        <w:t>风景复育区是指风景名胜区内除风景游览区以外的用于景观恢复和生态培育的区域。</w:t>
      </w:r>
    </w:p>
    <w:p>
      <w:pPr>
        <w:spacing w:line="240" w:lineRule="auto"/>
        <w:ind w:firstLine="640"/>
        <w:jc w:val="both"/>
      </w:pPr>
      <w:r>
        <w:rPr>
          <w:rFonts w:ascii="仿宋_GB2312" w:eastAsia="仿宋_GB2312" w:hAnsi="仿宋_GB2312" w:cs="仿宋_GB2312"/>
          <w:sz w:val="32"/>
        </w:rPr>
        <w:t>风景名胜区内的景观单元按照保护等级分为特级、一级、二级、三级保护景观单元，景观单元的具体名录由南岳区人民政府公布。</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南岳衡山风景名胜区的保护和管理应当遵循科学规划、统一管理、严格保护、永续利用的原则。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南岳区人民政府负责南岳衡山风景名胜区的保护和管理工作，应当每年向南岳区人民代表大会或者其常务委员会和衡阳市人民政府报告风景名胜区的保护和管理工作情况。</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省人民政府、衡阳市人民政府住房和城乡建设主管部门应当按照管理权限加强对南岳衡山风景名胜区保护的监督管理。</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对在南岳衡山风景名胜区保护工作中做出重要贡献的单位和个人，应当给予表彰、奖励。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保护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南岳衡山风景名胜区总体规划、详细规划的编制、报批，按照国务院《风景名胜区条例》的规定执行。</w:t>
      </w:r>
    </w:p>
    <w:p>
      <w:pPr>
        <w:spacing w:line="240" w:lineRule="auto"/>
        <w:ind w:firstLine="640"/>
        <w:jc w:val="both"/>
      </w:pPr>
      <w:r>
        <w:rPr>
          <w:rFonts w:ascii="仿宋_GB2312" w:eastAsia="仿宋_GB2312" w:hAnsi="仿宋_GB2312" w:cs="仿宋_GB2312"/>
          <w:sz w:val="32"/>
        </w:rPr>
        <w:t>总体规划、详细规划和专项规划是南岳衡山风景名胜区保护、建设和管理工作的依据，必须严格执行，不得擅自改变；确需改变的，按照国家规定的程序办理。</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南岳区人民政府应当将风景名胜区保护范围向社会公布，并设立界碑。</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任何单位和个人不得侵占、出让或者变相出让南岳衡山风景名胜资源及景区内土地。</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严格保护南岳衡山风景名胜区内的古建筑、古园林、古墓葬、古遗址、碑碣石刻、历史遗迹。</w:t>
      </w:r>
    </w:p>
    <w:p>
      <w:pPr>
        <w:spacing w:line="240" w:lineRule="auto"/>
        <w:ind w:firstLine="640"/>
        <w:jc w:val="both"/>
      </w:pPr>
      <w:r>
        <w:rPr>
          <w:rFonts w:ascii="仿宋_GB2312" w:eastAsia="仿宋_GB2312" w:hAnsi="仿宋_GB2312" w:cs="仿宋_GB2312"/>
          <w:sz w:val="32"/>
        </w:rPr>
        <w:t>对南岳大庙等古建筑，应当建立档案，划定保护范围和外围控制地带，作出标志说明，制定避雷、防火、防蛀等保护措施；未经法定程序批准，任何单位和个人不得随意拆除或者改动。</w:t>
      </w:r>
    </w:p>
    <w:p>
      <w:pPr>
        <w:spacing w:line="240" w:lineRule="auto"/>
        <w:ind w:firstLine="640"/>
        <w:jc w:val="both"/>
      </w:pPr>
      <w:r>
        <w:rPr>
          <w:rFonts w:ascii="仿宋_GB2312" w:eastAsia="仿宋_GB2312" w:hAnsi="仿宋_GB2312" w:cs="仿宋_GB2312"/>
          <w:sz w:val="32"/>
        </w:rPr>
        <w:t>对禹王碑等碑碣石刻，应当建立档案，设置防护栏和标示牌，</w:t>
      </w:r>
    </w:p>
    <w:p>
      <w:pPr>
        <w:spacing w:line="240" w:lineRule="auto"/>
        <w:ind w:firstLine="640"/>
        <w:jc w:val="both"/>
      </w:pPr>
      <w:r>
        <w:rPr>
          <w:rFonts w:ascii="仿宋_GB2312" w:eastAsia="仿宋_GB2312" w:hAnsi="仿宋_GB2312" w:cs="仿宋_GB2312"/>
          <w:sz w:val="32"/>
        </w:rPr>
        <w:t>并采取其他必要的保护措施。</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南岳区人民政府应当加强植被保护，开展植树造</w:t>
      </w:r>
    </w:p>
    <w:p>
      <w:pPr>
        <w:spacing w:line="240" w:lineRule="auto"/>
        <w:ind w:firstLine="640"/>
        <w:jc w:val="both"/>
      </w:pPr>
      <w:r>
        <w:rPr>
          <w:rFonts w:ascii="仿宋_GB2312" w:eastAsia="仿宋_GB2312" w:hAnsi="仿宋_GB2312" w:cs="仿宋_GB2312"/>
          <w:sz w:val="32"/>
        </w:rPr>
        <w:t>林，进行林相改造，并做好护林防火、森林病虫害防治和野生动物保护工作。</w:t>
      </w:r>
    </w:p>
    <w:p>
      <w:pPr>
        <w:spacing w:line="240" w:lineRule="auto"/>
        <w:ind w:firstLine="640"/>
        <w:jc w:val="both"/>
      </w:pPr>
      <w:r>
        <w:rPr>
          <w:rFonts w:ascii="仿宋_GB2312" w:eastAsia="仿宋_GB2312" w:hAnsi="仿宋_GB2312" w:cs="仿宋_GB2312"/>
          <w:sz w:val="32"/>
        </w:rPr>
        <w:t>对方广寺、广济寺、龙池、上封寺等地的原始次生林，应当设置防护栏，禁止除经南岳区人民政府批准从事科学研究观测、调查活动外的其他人员进入。</w:t>
      </w:r>
    </w:p>
    <w:p>
      <w:pPr>
        <w:spacing w:line="240" w:lineRule="auto"/>
        <w:ind w:firstLine="640"/>
        <w:jc w:val="both"/>
      </w:pPr>
      <w:r>
        <w:rPr>
          <w:rFonts w:ascii="仿宋_GB2312" w:eastAsia="仿宋_GB2312" w:hAnsi="仿宋_GB2312" w:cs="仿宋_GB2312"/>
          <w:sz w:val="32"/>
        </w:rPr>
        <w:t>对风景名胜区内的古树名木，应当建立档案，挂牌保护；对游路两侧及游览景点内的古树名木应当设置防护栏，禁止攀爬、刻划、折采、砍伐。</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南岳区人民政府应当做好水土保持和地质灾害防治工作，加强对地表水和地下水的保护，对水库、古镇溪流定期进行清理和疏浚。</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南岳区人民政府应当加强环境保护工作，加强环境质量监测，推广使用清洁能源，严格保护南岳衡山风景名胜区的生态环境。</w:t>
      </w:r>
    </w:p>
    <w:p>
      <w:pPr>
        <w:spacing w:line="240" w:lineRule="auto"/>
        <w:ind w:firstLine="640"/>
        <w:jc w:val="both"/>
      </w:pPr>
      <w:r>
        <w:rPr>
          <w:rFonts w:ascii="仿宋_GB2312" w:eastAsia="仿宋_GB2312" w:hAnsi="仿宋_GB2312" w:cs="仿宋_GB2312"/>
          <w:sz w:val="32"/>
        </w:rPr>
        <w:t>在南岳衡山风景名胜区从事生产、经营活动，必须有环境保护措施，污染物的排放应当符合国家标准；有地方标准的，应当符合地方标准。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在南岳衡山风景名胜区内从事下列活动应当经依法批准。其中，第（一）项、第（四）项、第（七）项由省人民政府批准；其他各项由南岳区人民政府批准，法律、行政法规规定由上级人民政府或者有关部门批准的，从其规定：</w:t>
      </w:r>
    </w:p>
    <w:p>
      <w:pPr>
        <w:spacing w:line="240" w:lineRule="auto"/>
        <w:ind w:firstLine="640"/>
        <w:jc w:val="both"/>
      </w:pPr>
      <w:r>
        <w:rPr>
          <w:rFonts w:ascii="仿宋_GB2312" w:eastAsia="仿宋_GB2312" w:hAnsi="仿宋_GB2312" w:cs="仿宋_GB2312"/>
          <w:sz w:val="32"/>
        </w:rPr>
        <w:t>（一）新建摩崖石刻、碑碣；</w:t>
      </w:r>
    </w:p>
    <w:p>
      <w:pPr>
        <w:spacing w:line="240" w:lineRule="auto"/>
        <w:ind w:firstLine="640"/>
        <w:jc w:val="both"/>
      </w:pPr>
      <w:r>
        <w:rPr>
          <w:rFonts w:ascii="仿宋_GB2312" w:eastAsia="仿宋_GB2312" w:hAnsi="仿宋_GB2312" w:cs="仿宋_GB2312"/>
          <w:sz w:val="32"/>
        </w:rPr>
        <w:t>（二）修缮文物，拓印碑碣、石刻；</w:t>
      </w:r>
    </w:p>
    <w:p>
      <w:pPr>
        <w:spacing w:line="240" w:lineRule="auto"/>
        <w:ind w:firstLine="640"/>
        <w:jc w:val="both"/>
      </w:pPr>
      <w:r>
        <w:rPr>
          <w:rFonts w:ascii="仿宋_GB2312" w:eastAsia="仿宋_GB2312" w:hAnsi="仿宋_GB2312" w:cs="仿宋_GB2312"/>
          <w:sz w:val="32"/>
        </w:rPr>
        <w:t>（三）拍摄电影、电视、制作、安装广告；</w:t>
      </w:r>
    </w:p>
    <w:p>
      <w:pPr>
        <w:spacing w:line="240" w:lineRule="auto"/>
        <w:ind w:firstLine="640"/>
        <w:jc w:val="both"/>
      </w:pPr>
      <w:r>
        <w:rPr>
          <w:rFonts w:ascii="仿宋_GB2312" w:eastAsia="仿宋_GB2312" w:hAnsi="仿宋_GB2312" w:cs="仿宋_GB2312"/>
          <w:sz w:val="32"/>
        </w:rPr>
        <w:t>（四）开展大型文化体育活动，举办大型游乐等活动；</w:t>
      </w:r>
    </w:p>
    <w:p>
      <w:pPr>
        <w:spacing w:line="240" w:lineRule="auto"/>
        <w:ind w:firstLine="640"/>
        <w:jc w:val="both"/>
      </w:pPr>
      <w:r>
        <w:rPr>
          <w:rFonts w:ascii="仿宋_GB2312" w:eastAsia="仿宋_GB2312" w:hAnsi="仿宋_GB2312" w:cs="仿宋_GB2312"/>
          <w:sz w:val="32"/>
        </w:rPr>
        <w:t>（五）临时占用、挖掘道路，建护坡、硬化地面或者其他改变地形地貌的行为；</w:t>
      </w:r>
    </w:p>
    <w:p>
      <w:pPr>
        <w:spacing w:line="240" w:lineRule="auto"/>
        <w:ind w:firstLine="640"/>
        <w:jc w:val="both"/>
      </w:pPr>
      <w:r>
        <w:rPr>
          <w:rFonts w:ascii="仿宋_GB2312" w:eastAsia="仿宋_GB2312" w:hAnsi="仿宋_GB2312" w:cs="仿宋_GB2312"/>
          <w:sz w:val="32"/>
        </w:rPr>
        <w:t>（六）采伐、移植、修剪林木，挖掘树桩（根），采集种子、药材等林副产品和动植物标本；</w:t>
      </w:r>
    </w:p>
    <w:p>
      <w:pPr>
        <w:spacing w:line="240" w:lineRule="auto"/>
        <w:ind w:firstLine="640"/>
        <w:jc w:val="both"/>
      </w:pPr>
      <w:r>
        <w:rPr>
          <w:rFonts w:ascii="仿宋_GB2312" w:eastAsia="仿宋_GB2312" w:hAnsi="仿宋_GB2312" w:cs="仿宋_GB2312"/>
          <w:sz w:val="32"/>
        </w:rPr>
        <w:t>（七）填堵自然水系或者截流取水；</w:t>
      </w:r>
    </w:p>
    <w:p>
      <w:pPr>
        <w:spacing w:line="240" w:lineRule="auto"/>
        <w:ind w:firstLine="640"/>
        <w:jc w:val="both"/>
      </w:pPr>
      <w:r>
        <w:rPr>
          <w:rFonts w:ascii="仿宋_GB2312" w:eastAsia="仿宋_GB2312" w:hAnsi="仿宋_GB2312" w:cs="仿宋_GB2312"/>
          <w:sz w:val="32"/>
        </w:rPr>
        <w:t>（八）其他影响生态和景观的活动。</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禁止在南岳衡山风景名胜区内从事下列活动：</w:t>
      </w:r>
    </w:p>
    <w:p>
      <w:pPr>
        <w:spacing w:line="240" w:lineRule="auto"/>
        <w:ind w:firstLine="640"/>
        <w:jc w:val="both"/>
      </w:pPr>
      <w:r>
        <w:rPr>
          <w:rFonts w:ascii="仿宋_GB2312" w:eastAsia="仿宋_GB2312" w:hAnsi="仿宋_GB2312" w:cs="仿宋_GB2312"/>
          <w:sz w:val="32"/>
        </w:rPr>
        <w:t>（一）设立造纸、制革、化工、采矿、冶炼、印染、炼油、电镀、酿造、制药及其他污染环境的企业；</w:t>
      </w:r>
    </w:p>
    <w:p>
      <w:pPr>
        <w:spacing w:line="240" w:lineRule="auto"/>
        <w:ind w:firstLine="640"/>
        <w:jc w:val="both"/>
      </w:pPr>
      <w:r>
        <w:rPr>
          <w:rFonts w:ascii="仿宋_GB2312" w:eastAsia="仿宋_GB2312" w:hAnsi="仿宋_GB2312" w:cs="仿宋_GB2312"/>
          <w:sz w:val="32"/>
        </w:rPr>
        <w:t>（二）储存有毒物品，修建储存爆炸性、易燃性、放射性、毒害性、腐蚀性物品的设施；</w:t>
      </w:r>
    </w:p>
    <w:p>
      <w:pPr>
        <w:spacing w:line="240" w:lineRule="auto"/>
        <w:ind w:firstLine="640"/>
        <w:jc w:val="both"/>
      </w:pPr>
      <w:r>
        <w:rPr>
          <w:rFonts w:ascii="仿宋_GB2312" w:eastAsia="仿宋_GB2312" w:hAnsi="仿宋_GB2312" w:cs="仿宋_GB2312"/>
          <w:sz w:val="32"/>
        </w:rPr>
        <w:t>（三）设立开发区、度假区；</w:t>
      </w:r>
    </w:p>
    <w:p>
      <w:pPr>
        <w:spacing w:line="240" w:lineRule="auto"/>
        <w:ind w:firstLine="640"/>
        <w:jc w:val="both"/>
      </w:pPr>
      <w:r>
        <w:rPr>
          <w:rFonts w:ascii="仿宋_GB2312" w:eastAsia="仿宋_GB2312" w:hAnsi="仿宋_GB2312" w:cs="仿宋_GB2312"/>
          <w:sz w:val="32"/>
        </w:rPr>
        <w:t>（四）开山、采石、开荒、修坟立碑；</w:t>
      </w:r>
    </w:p>
    <w:p>
      <w:pPr>
        <w:spacing w:line="240" w:lineRule="auto"/>
        <w:ind w:firstLine="640"/>
        <w:jc w:val="both"/>
      </w:pPr>
      <w:r>
        <w:rPr>
          <w:rFonts w:ascii="仿宋_GB2312" w:eastAsia="仿宋_GB2312" w:hAnsi="仿宋_GB2312" w:cs="仿宋_GB2312"/>
          <w:sz w:val="32"/>
        </w:rPr>
        <w:t>（五）采伐、损毁珍稀植物，捕猎野生动物；</w:t>
      </w:r>
    </w:p>
    <w:p>
      <w:pPr>
        <w:spacing w:line="240" w:lineRule="auto"/>
        <w:ind w:firstLine="640"/>
        <w:jc w:val="both"/>
      </w:pPr>
      <w:r>
        <w:rPr>
          <w:rFonts w:ascii="仿宋_GB2312" w:eastAsia="仿宋_GB2312" w:hAnsi="仿宋_GB2312" w:cs="仿宋_GB2312"/>
          <w:sz w:val="32"/>
        </w:rPr>
        <w:t>（六）野外生火、烧木炭、烧砖瓦、烧石灰、烧田埂；</w:t>
      </w:r>
    </w:p>
    <w:p>
      <w:pPr>
        <w:spacing w:line="240" w:lineRule="auto"/>
        <w:ind w:firstLine="640"/>
        <w:jc w:val="both"/>
      </w:pPr>
      <w:r>
        <w:rPr>
          <w:rFonts w:ascii="仿宋_GB2312" w:eastAsia="仿宋_GB2312" w:hAnsi="仿宋_GB2312" w:cs="仿宋_GB2312"/>
          <w:sz w:val="32"/>
        </w:rPr>
        <w:t>（七）燃放孔明灯等带有明火的空中飘移物，在禁火区内吸烟、烧香点烛、燃放烟花爆竹；</w:t>
      </w:r>
    </w:p>
    <w:p>
      <w:pPr>
        <w:spacing w:line="240" w:lineRule="auto"/>
        <w:ind w:firstLine="640"/>
        <w:jc w:val="both"/>
      </w:pPr>
      <w:r>
        <w:rPr>
          <w:rFonts w:ascii="仿宋_GB2312" w:eastAsia="仿宋_GB2312" w:hAnsi="仿宋_GB2312" w:cs="仿宋_GB2312"/>
          <w:sz w:val="32"/>
        </w:rPr>
        <w:t>（八）损毁标志、公告牌、坐椅、话亭、界碑、垃圾箱等公共设施；</w:t>
      </w:r>
    </w:p>
    <w:p>
      <w:pPr>
        <w:spacing w:line="240" w:lineRule="auto"/>
        <w:ind w:firstLine="640"/>
        <w:jc w:val="both"/>
      </w:pPr>
      <w:r>
        <w:rPr>
          <w:rFonts w:ascii="仿宋_GB2312" w:eastAsia="仿宋_GB2312" w:hAnsi="仿宋_GB2312" w:cs="仿宋_GB2312"/>
          <w:sz w:val="32"/>
        </w:rPr>
        <w:t>（九）踩踏、攀爬、粘贴、刻划、涂污文物古迹，在景物或者设施上刻划、涂污；</w:t>
      </w:r>
    </w:p>
    <w:p>
      <w:pPr>
        <w:spacing w:line="240" w:lineRule="auto"/>
        <w:ind w:firstLine="640"/>
        <w:jc w:val="both"/>
      </w:pPr>
      <w:r>
        <w:rPr>
          <w:rFonts w:ascii="仿宋_GB2312" w:eastAsia="仿宋_GB2312" w:hAnsi="仿宋_GB2312" w:cs="仿宋_GB2312"/>
          <w:sz w:val="32"/>
        </w:rPr>
        <w:t>（十）在非指定地点倾倒垃圾、污物；</w:t>
      </w:r>
    </w:p>
    <w:p>
      <w:pPr>
        <w:spacing w:line="240" w:lineRule="auto"/>
        <w:ind w:firstLine="640"/>
        <w:jc w:val="both"/>
      </w:pPr>
      <w:r>
        <w:rPr>
          <w:rFonts w:ascii="仿宋_GB2312" w:eastAsia="仿宋_GB2312" w:hAnsi="仿宋_GB2312" w:cs="仿宋_GB2312"/>
          <w:sz w:val="32"/>
        </w:rPr>
        <w:t>（十一）其他危害风景名胜资源或者危及公共安全的活动。</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禁止在南岳衡山风景名胜区核心景区和其他景区的景观单元内从事下列活动：</w:t>
      </w:r>
    </w:p>
    <w:p>
      <w:pPr>
        <w:spacing w:line="240" w:lineRule="auto"/>
        <w:ind w:firstLine="640"/>
        <w:jc w:val="both"/>
      </w:pPr>
      <w:r>
        <w:rPr>
          <w:rFonts w:ascii="仿宋_GB2312" w:eastAsia="仿宋_GB2312" w:hAnsi="仿宋_GB2312" w:cs="仿宋_GB2312"/>
          <w:sz w:val="32"/>
        </w:rPr>
        <w:t>（一）自由放牧；</w:t>
      </w:r>
    </w:p>
    <w:p>
      <w:pPr>
        <w:spacing w:line="240" w:lineRule="auto"/>
        <w:ind w:firstLine="640"/>
        <w:jc w:val="both"/>
      </w:pPr>
      <w:r>
        <w:rPr>
          <w:rFonts w:ascii="仿宋_GB2312" w:eastAsia="仿宋_GB2312" w:hAnsi="仿宋_GB2312" w:cs="仿宋_GB2312"/>
          <w:sz w:val="32"/>
        </w:rPr>
        <w:t>（二）新建或者扩建除保护性、游览性基础设施以外的宾馆、招待所、培训中心、疗养院以及与风景名胜资源保护无关的其他建设项目。</w:t>
      </w:r>
    </w:p>
    <w:p>
      <w:pPr>
        <w:spacing w:line="240" w:lineRule="auto"/>
        <w:ind w:firstLine="640"/>
        <w:jc w:val="both"/>
      </w:pPr>
      <w:r>
        <w:rPr>
          <w:rFonts w:ascii="仿宋_GB2312" w:eastAsia="仿宋_GB2312" w:hAnsi="仿宋_GB2312" w:cs="仿宋_GB2312"/>
          <w:sz w:val="32"/>
        </w:rPr>
        <w:t>已经在风景名胜区内设立各类开发区和在核心景区内建设宾馆、招待所、培训中心、疗养院以及与风景名胜资源保护无关的其他建筑物，应当按照风景名胜区规划，逐步迁出。</w:t>
      </w:r>
    </w:p>
    <w:p>
      <w:pPr>
        <w:spacing w:line="240" w:lineRule="auto"/>
        <w:ind w:firstLine="640"/>
        <w:jc w:val="both"/>
      </w:pPr>
      <w:r>
        <w:rPr>
          <w:rFonts w:ascii="仿宋_GB2312" w:eastAsia="仿宋_GB2312" w:hAnsi="仿宋_GB2312" w:cs="仿宋_GB2312"/>
          <w:sz w:val="32"/>
        </w:rPr>
        <w:t>禁止在南天门牌坊至祝融峰地段范围内通行机动车辆或者从事经营性的餐饮、住宿、娱乐等活动。</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南岳区人民政府应当按照下列规定做好风景名胜区内的整治和拆迁工作：</w:t>
      </w:r>
    </w:p>
    <w:p>
      <w:pPr>
        <w:spacing w:line="240" w:lineRule="auto"/>
        <w:ind w:firstLine="640"/>
        <w:jc w:val="both"/>
      </w:pPr>
      <w:r>
        <w:rPr>
          <w:rFonts w:ascii="仿宋_GB2312" w:eastAsia="仿宋_GB2312" w:hAnsi="仿宋_GB2312" w:cs="仿宋_GB2312"/>
          <w:sz w:val="32"/>
        </w:rPr>
        <w:t>（一）对违法建（构）筑物，责令限期拆除并恢复植被和地貌；</w:t>
      </w:r>
    </w:p>
    <w:p>
      <w:pPr>
        <w:spacing w:line="240" w:lineRule="auto"/>
        <w:ind w:firstLine="640"/>
        <w:jc w:val="both"/>
      </w:pPr>
      <w:r>
        <w:rPr>
          <w:rFonts w:ascii="仿宋_GB2312" w:eastAsia="仿宋_GB2312" w:hAnsi="仿宋_GB2312" w:cs="仿宋_GB2312"/>
          <w:sz w:val="32"/>
        </w:rPr>
        <w:t>（二）对虽经批准，但严重影响景观、污染环境、妨碍游览的建（构）筑物，限期进行整治或者拆除，并依法予以补偿；</w:t>
      </w:r>
    </w:p>
    <w:p>
      <w:pPr>
        <w:spacing w:line="240" w:lineRule="auto"/>
        <w:ind w:firstLine="640"/>
        <w:jc w:val="both"/>
      </w:pPr>
      <w:r>
        <w:rPr>
          <w:rFonts w:ascii="仿宋_GB2312" w:eastAsia="仿宋_GB2312" w:hAnsi="仿宋_GB2312" w:cs="仿宋_GB2312"/>
          <w:sz w:val="32"/>
        </w:rPr>
        <w:t>（三）对居住在核心景区道路两侧边沟外缘起三十米范围内和景观单元内的村（居）民，应当逐步外迁，并依法予以安置和补偿。</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南岳衡山风景名胜资源实行有偿使用，有偿使用费的征收、管理和使用按照省人民政府的有关规定执行。</w:t>
      </w:r>
    </w:p>
    <w:p>
      <w:pPr>
        <w:spacing w:line="240" w:lineRule="auto"/>
        <w:ind w:firstLine="640"/>
        <w:jc w:val="both"/>
      </w:pPr>
      <w:r>
        <w:rPr>
          <w:rFonts w:ascii="仿宋_GB2312" w:eastAsia="仿宋_GB2312" w:hAnsi="仿宋_GB2312" w:cs="仿宋_GB2312"/>
          <w:sz w:val="32"/>
        </w:rPr>
        <w:t>南岳衡山风景名胜区门票收入应当纳入预算管理，专门用于风景名胜区保护、建设、管理和景区内村（居）民搬迁补偿安置。</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南岳衡山风景名胜区内的建设项目应当符合规划要求，建（构）筑物的布局、体量、造型和色彩应当与周围景观、环境相协调，不得破坏风景名胜区整体风貌。</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在南岳衡山风景名胜区申请建设项目，选址方案应当经南岳区人民政府审核后，按下列规定报住房和城乡建设主管部门核准：</w:t>
      </w:r>
    </w:p>
    <w:p>
      <w:pPr>
        <w:spacing w:line="240" w:lineRule="auto"/>
        <w:ind w:firstLine="640"/>
        <w:jc w:val="both"/>
      </w:pPr>
      <w:r>
        <w:rPr>
          <w:rFonts w:ascii="仿宋_GB2312" w:eastAsia="仿宋_GB2312" w:hAnsi="仿宋_GB2312" w:cs="仿宋_GB2312"/>
          <w:sz w:val="32"/>
        </w:rPr>
        <w:t>（一）建设缆车、索道等重大项目，由省人民政府住房和城乡建设主管部门审查后报国务院住房和城乡建设主管部门核准；</w:t>
      </w:r>
    </w:p>
    <w:p>
      <w:pPr>
        <w:spacing w:line="240" w:lineRule="auto"/>
        <w:ind w:firstLine="640"/>
        <w:jc w:val="both"/>
      </w:pPr>
      <w:r>
        <w:rPr>
          <w:rFonts w:ascii="仿宋_GB2312" w:eastAsia="仿宋_GB2312" w:hAnsi="仿宋_GB2312" w:cs="仿宋_GB2312"/>
          <w:sz w:val="32"/>
        </w:rPr>
        <w:t>（二）其他建设项目由衡阳市人民政府住房和城乡建设主管部门审查后，报省人民政府住房和城乡建设主管部门核准。</w:t>
      </w:r>
    </w:p>
    <w:p>
      <w:pPr>
        <w:spacing w:line="240" w:lineRule="auto"/>
        <w:ind w:firstLine="640"/>
        <w:jc w:val="both"/>
      </w:pPr>
      <w:r>
        <w:rPr>
          <w:rFonts w:ascii="仿宋_GB2312" w:eastAsia="仿宋_GB2312" w:hAnsi="仿宋_GB2312" w:cs="仿宋_GB2312"/>
          <w:sz w:val="32"/>
        </w:rPr>
        <w:t>风景名胜区内村（居）民建设住宅应当符合风景名胜区规划，</w:t>
      </w:r>
    </w:p>
    <w:p>
      <w:pPr>
        <w:spacing w:line="240" w:lineRule="auto"/>
        <w:ind w:firstLine="640"/>
        <w:jc w:val="both"/>
      </w:pPr>
      <w:r>
        <w:rPr>
          <w:rFonts w:ascii="仿宋_GB2312" w:eastAsia="仿宋_GB2312" w:hAnsi="仿宋_GB2312" w:cs="仿宋_GB2312"/>
          <w:sz w:val="32"/>
        </w:rPr>
        <w:t>并经南岳区人民政府住房和城乡建设主管部门审批。</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南岳衡山风景名胜区内的建设项目，在规划选址阶段应当按照有关规定进行环境影响评价和地质灾害评估，并制定水土保持方案。</w:t>
      </w:r>
    </w:p>
    <w:p>
      <w:pPr>
        <w:spacing w:line="240" w:lineRule="auto"/>
        <w:ind w:firstLine="640"/>
        <w:jc w:val="both"/>
      </w:pPr>
      <w:r>
        <w:rPr>
          <w:rFonts w:ascii="仿宋_GB2312" w:eastAsia="仿宋_GB2312" w:hAnsi="仿宋_GB2312" w:cs="仿宋_GB2312"/>
          <w:sz w:val="32"/>
        </w:rPr>
        <w:t>建设项目在取得风景名胜区建设选址意见书后，方可按照法</w:t>
      </w:r>
    </w:p>
    <w:p>
      <w:pPr>
        <w:spacing w:line="240" w:lineRule="auto"/>
        <w:ind w:firstLine="640"/>
        <w:jc w:val="both"/>
      </w:pPr>
      <w:r>
        <w:rPr>
          <w:rFonts w:ascii="仿宋_GB2312" w:eastAsia="仿宋_GB2312" w:hAnsi="仿宋_GB2312" w:cs="仿宋_GB2312"/>
          <w:sz w:val="32"/>
        </w:rPr>
        <w:t>定程序办理相关手续。</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寺观等宗教活动场所建设应当符合规划，遵守有关法律、法规；其周边的规划建设应当与宗教活动场所的风格、环境相协调。</w:t>
      </w:r>
    </w:p>
    <w:p>
      <w:pPr>
        <w:spacing w:line="240" w:lineRule="auto"/>
        <w:ind w:firstLine="640"/>
        <w:jc w:val="both"/>
      </w:pPr>
      <w:r>
        <w:rPr>
          <w:rFonts w:ascii="仿宋_GB2312" w:eastAsia="仿宋_GB2312" w:hAnsi="仿宋_GB2312" w:cs="仿宋_GB2312"/>
          <w:sz w:val="32"/>
        </w:rPr>
        <w:t>宗教活动场所需要修缮的，其修缮方案应当经南岳区人民政府审核后，报相关主管部门批准。</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在南岳衡山风景名胜区内进行建设活动，施工单位应当采取有效措施保护施工现场周围的景物、植被、水体和地貌，工程竣工后及时清理现场，恢复植被。</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南岳区人民政府应当建立健全风景名胜区内的各项管理制度，加强治安、卫生和安全管理，维护游览秩序，保护游客合法权益。</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南岳区人民政府应当根据规划确定的游览接待容量，完善服务设施，改善交通、游览条件，修缮、养护石砌步道；必要时可对景区、景点实施定期休整并予以公告。</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南岳区人民政府应当在景区统一设置规范的标志、标牌，对游览设施进行检查和维护，设置安全设施，并制定突发事件应急预案。</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南岳区人民政府应当完善风景名胜区的旅游交通运输管理体制，加强对旅游交通运输的管理。</w:t>
      </w:r>
    </w:p>
    <w:p>
      <w:pPr>
        <w:spacing w:line="240" w:lineRule="auto"/>
        <w:ind w:firstLine="640"/>
        <w:jc w:val="both"/>
      </w:pPr>
      <w:r>
        <w:rPr>
          <w:rFonts w:ascii="仿宋_GB2312" w:eastAsia="仿宋_GB2312" w:hAnsi="仿宋_GB2312" w:cs="仿宋_GB2312"/>
          <w:sz w:val="32"/>
        </w:rPr>
        <w:t>风景名胜区的旅游交通运输应当按照方便游客的原则实行统一经营，经营者由南岳区人民政府按照公开、公平、公正的原则依法确定。禁止非营运车辆载客营运。</w:t>
      </w:r>
    </w:p>
    <w:p>
      <w:pPr>
        <w:spacing w:line="240" w:lineRule="auto"/>
        <w:ind w:firstLine="640"/>
        <w:jc w:val="both"/>
      </w:pPr>
      <w:r>
        <w:rPr>
          <w:rFonts w:ascii="仿宋_GB2312" w:eastAsia="仿宋_GB2312" w:hAnsi="仿宋_GB2312" w:cs="仿宋_GB2312"/>
          <w:sz w:val="32"/>
        </w:rPr>
        <w:t>除营运车辆以及经南岳区人民政府批准执行公务和施工任务的车辆外，禁止其他社会车辆驶入核心景区。核心景区内的营运车辆应当使用环保型车辆。</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在南岳衡山风景名胜区内从事经营活动，应当在指定地点依法、文明经营，不得纠缠、欺诈游客。</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南岳衡山风景名胜区内的游客和其他人员，应当遵守风景名胜区的有关管理规定，爱护风景名胜资源和公共设施，维护环境卫生和公共秩序，并有权制止或者举报破坏风景名胜资源的行为。</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违反本条例第七条规定，未按程序审批、拒不执行或者擅自变更风景名胜区总体规划、详细规划或者专项规划的，由南岳区人民政府或者上级人民政府责令停止违法行为，限期改正；对直接负责的主管人员和其他直接责任人员依法给予行政处分。</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违反本条例第九条规定，侵占、出让或者变相出让风景名胜资源和景区内土地的，占用的资源和土地由县级以上人民政府收回；因出让或者变相出让行为给行政相对人造成损失的，应当依法予以赔偿；对直接负责的主管人员和其他直接责任人员依法给予行政处分。</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违反本条例规定，有下列违法行为之一的，由南岳区人民政府依照以下规定给予处罚：</w:t>
      </w:r>
    </w:p>
    <w:p>
      <w:pPr>
        <w:spacing w:line="240" w:lineRule="auto"/>
        <w:ind w:firstLine="640"/>
        <w:jc w:val="both"/>
      </w:pPr>
      <w:r>
        <w:rPr>
          <w:rFonts w:ascii="仿宋_GB2312" w:eastAsia="仿宋_GB2312" w:hAnsi="仿宋_GB2312" w:cs="仿宋_GB2312"/>
          <w:sz w:val="32"/>
        </w:rPr>
        <w:t>（一）违反本条例第十四条第（一）项、第（三）项、第（四）项、第（七）项规定，未经批准在风景名胜区内进行影响生态和景观的活动的，责令停止违法行为、限期恢复原状或者采取其他补救措施，没收违法所得，并处五万元以上十万元以下罚款；情节严重的，并处十万元以上二十万元以下罚款；</w:t>
      </w:r>
    </w:p>
    <w:p>
      <w:pPr>
        <w:spacing w:line="240" w:lineRule="auto"/>
        <w:ind w:firstLine="640"/>
        <w:jc w:val="both"/>
      </w:pPr>
      <w:r>
        <w:rPr>
          <w:rFonts w:ascii="仿宋_GB2312" w:eastAsia="仿宋_GB2312" w:hAnsi="仿宋_GB2312" w:cs="仿宋_GB2312"/>
          <w:sz w:val="32"/>
        </w:rPr>
        <w:t>（二）未经南岳区人民政府批准在风景名胜区内从事本条例第十四条第（五）项规定的建设活动的，责令停止建设、限期拆除，对个人处二万元以上五万元以下罚款，对单位处二十万元以上五十万元以下罚款；</w:t>
      </w:r>
    </w:p>
    <w:p>
      <w:pPr>
        <w:spacing w:line="240" w:lineRule="auto"/>
        <w:ind w:firstLine="640"/>
        <w:jc w:val="both"/>
      </w:pPr>
      <w:r>
        <w:rPr>
          <w:rFonts w:ascii="仿宋_GB2312" w:eastAsia="仿宋_GB2312" w:hAnsi="仿宋_GB2312" w:cs="仿宋_GB2312"/>
          <w:sz w:val="32"/>
        </w:rPr>
        <w:t>（三）违反本条例第十五条第（四）项、第十六条第一款第（三）项规定的，责令停止违法行为、恢复原状或者限期拆除，没收违法所得，并处五十万元以上一百万元以下罚款；</w:t>
      </w:r>
    </w:p>
    <w:p>
      <w:pPr>
        <w:spacing w:line="240" w:lineRule="auto"/>
        <w:ind w:firstLine="640"/>
        <w:jc w:val="both"/>
      </w:pPr>
      <w:r>
        <w:rPr>
          <w:rFonts w:ascii="仿宋_GB2312" w:eastAsia="仿宋_GB2312" w:hAnsi="仿宋_GB2312" w:cs="仿宋_GB2312"/>
          <w:sz w:val="32"/>
        </w:rPr>
        <w:t>（四）违反本条例第十四条第（六）项、第十五条第（六）项、第（七）项规定，破坏景观、植被、地形地貌的，责令停止违法行为，限期恢复原状或者采取其他补救措施。其中违反第十五条第（六）项、第（七）项规定，有违法所得的，没收违法所得，并处一千元以上一万元以下罚款；</w:t>
      </w:r>
    </w:p>
    <w:p>
      <w:pPr>
        <w:spacing w:line="240" w:lineRule="auto"/>
        <w:ind w:firstLine="640"/>
        <w:jc w:val="both"/>
      </w:pPr>
      <w:r>
        <w:rPr>
          <w:rFonts w:ascii="仿宋_GB2312" w:eastAsia="仿宋_GB2312" w:hAnsi="仿宋_GB2312" w:cs="仿宋_GB2312"/>
          <w:sz w:val="32"/>
        </w:rPr>
        <w:t>（五）违反本条例第二十三条规定的，责令停止违法行为、限期恢复原状或者采取其他补救措施，并处二万元以上十万元以下罚款；逾期未恢复原状或者未采取有效措施的，责令停止施工。</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违反本条例规定进行审批的，其批准文件无效，由上一级人民政府或者其有关行政主管部门责令限期改正；造成行政相对人损失的，依法予以赔偿；对直接负责的主管人员和其他直接责任人员依法给予行政处分。</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违反本条例规定，法律、行政法规已有处罚规定的，依照相关法律、行政法规处罚。</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国家工作人员在南岳衡山风景名胜区保护工作中玩忽职守、滥用职权、徇私舞弊的，依法给予行政处分；构成犯罪的，依法追究刑事责任。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本条例自2005年12月1日起施行。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