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left"/>
        <w:textAlignment w:val="auto"/>
        <w:outlineLvl w:val="9"/>
        <w:rPr>
          <w:rFonts w:hint="eastAsia" w:asciiTheme="majorEastAsia" w:hAnsiTheme="majorEastAsia" w:eastAsiaTheme="majorEastAsia" w:cstheme="majorEastAsia"/>
          <w:sz w:val="32"/>
          <w:szCs w:val="32"/>
        </w:rPr>
      </w:pP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left"/>
        <w:textAlignment w:val="auto"/>
        <w:outlineLvl w:val="9"/>
        <w:rPr>
          <w:rFonts w:hint="eastAsia" w:asciiTheme="majorEastAsia" w:hAnsiTheme="majorEastAsia" w:eastAsiaTheme="majorEastAsia" w:cstheme="majorEastAsia"/>
          <w:sz w:val="32"/>
          <w:szCs w:val="32"/>
        </w:rPr>
      </w:pP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center"/>
        <w:textAlignment w:val="auto"/>
        <w:outlineLvl w:val="9"/>
        <w:rPr>
          <w:rFonts w:hint="eastAsia" w:asciiTheme="majorEastAsia" w:hAnsiTheme="majorEastAsia" w:eastAsiaTheme="majorEastAsia" w:cstheme="majorEastAsia"/>
          <w:sz w:val="32"/>
          <w:szCs w:val="32"/>
        </w:rPr>
      </w:pPr>
      <w:r>
        <w:rPr>
          <w:rFonts w:hint="eastAsia" w:asciiTheme="majorEastAsia" w:hAnsiTheme="majorEastAsia" w:eastAsiaTheme="majorEastAsia" w:cstheme="majorEastAsia"/>
          <w:sz w:val="44"/>
          <w:szCs w:val="44"/>
        </w:rPr>
        <w:t>湖南省民兵预备役工作条例</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center"/>
        <w:textAlignment w:val="auto"/>
        <w:outlineLvl w:val="9"/>
        <w:rPr>
          <w:rFonts w:hint="eastAsia" w:asciiTheme="majorEastAsia" w:hAnsiTheme="majorEastAsia" w:eastAsiaTheme="majorEastAsia" w:cstheme="majorEastAsia"/>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420" w:leftChars="200" w:right="420" w:rightChars="200" w:firstLine="0" w:firstLineChars="0"/>
        <w:jc w:val="left"/>
        <w:textAlignment w:val="auto"/>
        <w:outlineLvl w:val="9"/>
        <w:rPr>
          <w:rFonts w:hint="eastAsia" w:ascii="楷体" w:hAnsi="楷体" w:eastAsia="楷体" w:cs="楷体"/>
          <w:sz w:val="32"/>
          <w:szCs w:val="32"/>
          <w:lang w:eastAsia="zh-CN"/>
        </w:rPr>
      </w:pPr>
      <w:r>
        <w:rPr>
          <w:rFonts w:hint="eastAsia" w:ascii="楷体" w:hAnsi="楷体" w:eastAsia="楷体" w:cs="楷体"/>
          <w:sz w:val="32"/>
          <w:szCs w:val="32"/>
          <w:lang w:eastAsia="zh-CN"/>
        </w:rPr>
        <w:t>（</w:t>
      </w:r>
      <w:r>
        <w:rPr>
          <w:rFonts w:hint="eastAsia" w:ascii="楷体" w:hAnsi="楷体" w:eastAsia="楷体" w:cs="楷体"/>
          <w:sz w:val="32"/>
          <w:szCs w:val="32"/>
          <w:lang w:val="en-US" w:eastAsia="zh-CN"/>
        </w:rPr>
        <w:t>2000年1月15日湖南省第九届人民代表大会常务委员会第十三次会议通过  根据2010年7月29日湖南省第十一届人民代表大会常务委员会第十七次会议《关于修改部分地方性法规的决定》修正</w:t>
      </w:r>
      <w:r>
        <w:rPr>
          <w:rFonts w:hint="eastAsia" w:ascii="楷体" w:hAnsi="楷体" w:eastAsia="楷体" w:cs="楷体"/>
          <w:sz w:val="32"/>
          <w:szCs w:val="32"/>
          <w:lang w:eastAsia="zh-CN"/>
        </w:rPr>
        <w:t>）</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center"/>
        <w:textAlignment w:val="auto"/>
        <w:outlineLvl w:val="9"/>
        <w:rPr>
          <w:rFonts w:hint="eastAsia" w:asciiTheme="majorEastAsia" w:hAnsiTheme="majorEastAsia" w:eastAsiaTheme="majorEastAsia" w:cstheme="majorEastAsia"/>
          <w:sz w:val="32"/>
          <w:szCs w:val="32"/>
        </w:rPr>
      </w:pP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center"/>
        <w:textAlignment w:val="auto"/>
        <w:outlineLvl w:val="9"/>
        <w:rPr>
          <w:rFonts w:hint="eastAsia" w:ascii="楷体" w:hAnsi="楷体" w:eastAsia="楷体" w:cs="楷体"/>
          <w:sz w:val="32"/>
          <w:szCs w:val="32"/>
        </w:rPr>
      </w:pPr>
      <w:r>
        <w:rPr>
          <w:rFonts w:hint="eastAsia" w:ascii="楷体" w:hAnsi="楷体" w:eastAsia="楷体" w:cs="楷体"/>
          <w:sz w:val="32"/>
          <w:szCs w:val="32"/>
        </w:rPr>
        <w:t>目</w:t>
      </w:r>
      <w:r>
        <w:rPr>
          <w:rFonts w:hint="eastAsia" w:ascii="楷体" w:hAnsi="楷体" w:eastAsia="楷体" w:cs="楷体"/>
          <w:sz w:val="32"/>
          <w:szCs w:val="32"/>
          <w:lang w:val="en-US" w:eastAsia="zh-CN"/>
        </w:rPr>
        <w:t xml:space="preserve">  </w:t>
      </w:r>
      <w:r>
        <w:rPr>
          <w:rFonts w:hint="eastAsia" w:ascii="楷体" w:hAnsi="楷体" w:eastAsia="楷体" w:cs="楷体"/>
          <w:sz w:val="32"/>
          <w:szCs w:val="32"/>
        </w:rPr>
        <w:t>录</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left"/>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left"/>
        <w:textAlignment w:val="auto"/>
        <w:outlineLvl w:val="9"/>
        <w:rPr>
          <w:rFonts w:hint="eastAsia" w:ascii="楷体" w:hAnsi="楷体" w:eastAsia="楷体" w:cs="楷体"/>
          <w:sz w:val="32"/>
          <w:szCs w:val="32"/>
        </w:rPr>
      </w:pPr>
      <w:r>
        <w:rPr>
          <w:rFonts w:hint="eastAsia" w:ascii="楷体" w:hAnsi="楷体" w:eastAsia="楷体" w:cs="楷体"/>
          <w:sz w:val="32"/>
          <w:szCs w:val="32"/>
        </w:rPr>
        <w:t>第一章</w:t>
      </w:r>
      <w:r>
        <w:rPr>
          <w:rFonts w:hint="eastAsia" w:ascii="楷体" w:hAnsi="楷体" w:eastAsia="楷体" w:cs="楷体"/>
          <w:sz w:val="32"/>
          <w:szCs w:val="32"/>
          <w:lang w:val="en-US" w:eastAsia="zh-CN"/>
        </w:rPr>
        <w:t xml:space="preserve">  </w:t>
      </w:r>
      <w:r>
        <w:rPr>
          <w:rFonts w:hint="eastAsia" w:ascii="楷体" w:hAnsi="楷体" w:eastAsia="楷体" w:cs="楷体"/>
          <w:sz w:val="32"/>
          <w:szCs w:val="32"/>
        </w:rPr>
        <w:t>总则</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left"/>
        <w:textAlignment w:val="auto"/>
        <w:outlineLvl w:val="9"/>
        <w:rPr>
          <w:rFonts w:hint="eastAsia" w:ascii="楷体" w:hAnsi="楷体" w:eastAsia="楷体" w:cs="楷体"/>
          <w:sz w:val="32"/>
          <w:szCs w:val="32"/>
        </w:rPr>
      </w:pPr>
      <w:r>
        <w:rPr>
          <w:rFonts w:hint="eastAsia" w:ascii="楷体" w:hAnsi="楷体" w:eastAsia="楷体" w:cs="楷体"/>
          <w:sz w:val="32"/>
          <w:szCs w:val="32"/>
        </w:rPr>
        <w:t>第二章</w:t>
      </w:r>
      <w:r>
        <w:rPr>
          <w:rFonts w:hint="eastAsia" w:ascii="楷体" w:hAnsi="楷体" w:eastAsia="楷体" w:cs="楷体"/>
          <w:sz w:val="32"/>
          <w:szCs w:val="32"/>
          <w:lang w:val="en-US" w:eastAsia="zh-CN"/>
        </w:rPr>
        <w:t xml:space="preserve">  </w:t>
      </w:r>
      <w:r>
        <w:rPr>
          <w:rFonts w:hint="eastAsia" w:ascii="楷体" w:hAnsi="楷体" w:eastAsia="楷体" w:cs="楷体"/>
          <w:sz w:val="32"/>
          <w:szCs w:val="32"/>
        </w:rPr>
        <w:t>基层人民武装部和专职人民武装干部</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left"/>
        <w:textAlignment w:val="auto"/>
        <w:outlineLvl w:val="9"/>
        <w:rPr>
          <w:rFonts w:hint="eastAsia" w:ascii="楷体" w:hAnsi="楷体" w:eastAsia="楷体" w:cs="楷体"/>
          <w:sz w:val="32"/>
          <w:szCs w:val="32"/>
        </w:rPr>
      </w:pPr>
      <w:r>
        <w:rPr>
          <w:rFonts w:hint="eastAsia" w:ascii="楷体" w:hAnsi="楷体" w:eastAsia="楷体" w:cs="楷体"/>
          <w:sz w:val="32"/>
          <w:szCs w:val="32"/>
        </w:rPr>
        <w:t>第三章</w:t>
      </w:r>
      <w:r>
        <w:rPr>
          <w:rFonts w:hint="eastAsia" w:ascii="楷体" w:hAnsi="楷体" w:eastAsia="楷体" w:cs="楷体"/>
          <w:sz w:val="32"/>
          <w:szCs w:val="32"/>
          <w:lang w:val="en-US" w:eastAsia="zh-CN"/>
        </w:rPr>
        <w:t xml:space="preserve">  </w:t>
      </w:r>
      <w:r>
        <w:rPr>
          <w:rFonts w:hint="eastAsia" w:ascii="楷体" w:hAnsi="楷体" w:eastAsia="楷体" w:cs="楷体"/>
          <w:sz w:val="32"/>
          <w:szCs w:val="32"/>
        </w:rPr>
        <w:t>组织建设</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left"/>
        <w:textAlignment w:val="auto"/>
        <w:outlineLvl w:val="9"/>
        <w:rPr>
          <w:rFonts w:hint="eastAsia" w:ascii="楷体" w:hAnsi="楷体" w:eastAsia="楷体" w:cs="楷体"/>
          <w:sz w:val="32"/>
          <w:szCs w:val="32"/>
        </w:rPr>
      </w:pPr>
      <w:r>
        <w:rPr>
          <w:rFonts w:hint="eastAsia" w:ascii="楷体" w:hAnsi="楷体" w:eastAsia="楷体" w:cs="楷体"/>
          <w:sz w:val="32"/>
          <w:szCs w:val="32"/>
        </w:rPr>
        <w:t>第四章</w:t>
      </w:r>
      <w:r>
        <w:rPr>
          <w:rFonts w:hint="eastAsia" w:ascii="楷体" w:hAnsi="楷体" w:eastAsia="楷体" w:cs="楷体"/>
          <w:sz w:val="32"/>
          <w:szCs w:val="32"/>
          <w:lang w:val="en-US" w:eastAsia="zh-CN"/>
        </w:rPr>
        <w:t xml:space="preserve">  </w:t>
      </w:r>
      <w:r>
        <w:rPr>
          <w:rFonts w:hint="eastAsia" w:ascii="楷体" w:hAnsi="楷体" w:eastAsia="楷体" w:cs="楷体"/>
          <w:sz w:val="32"/>
          <w:szCs w:val="32"/>
        </w:rPr>
        <w:t>政治工作</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left"/>
        <w:textAlignment w:val="auto"/>
        <w:outlineLvl w:val="9"/>
        <w:rPr>
          <w:rFonts w:hint="eastAsia" w:ascii="楷体" w:hAnsi="楷体" w:eastAsia="楷体" w:cs="楷体"/>
          <w:sz w:val="32"/>
          <w:szCs w:val="32"/>
        </w:rPr>
      </w:pPr>
      <w:r>
        <w:rPr>
          <w:rFonts w:hint="eastAsia" w:ascii="楷体" w:hAnsi="楷体" w:eastAsia="楷体" w:cs="楷体"/>
          <w:sz w:val="32"/>
          <w:szCs w:val="32"/>
        </w:rPr>
        <w:t>第五章</w:t>
      </w:r>
      <w:r>
        <w:rPr>
          <w:rFonts w:hint="eastAsia" w:ascii="楷体" w:hAnsi="楷体" w:eastAsia="楷体" w:cs="楷体"/>
          <w:sz w:val="32"/>
          <w:szCs w:val="32"/>
          <w:lang w:val="en-US" w:eastAsia="zh-CN"/>
        </w:rPr>
        <w:t xml:space="preserve">  </w:t>
      </w:r>
      <w:r>
        <w:rPr>
          <w:rFonts w:hint="eastAsia" w:ascii="楷体" w:hAnsi="楷体" w:eastAsia="楷体" w:cs="楷体"/>
          <w:sz w:val="32"/>
          <w:szCs w:val="32"/>
        </w:rPr>
        <w:t>军事训练</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left"/>
        <w:textAlignment w:val="auto"/>
        <w:outlineLvl w:val="9"/>
        <w:rPr>
          <w:rFonts w:hint="eastAsia" w:ascii="楷体" w:hAnsi="楷体" w:eastAsia="楷体" w:cs="楷体"/>
          <w:sz w:val="32"/>
          <w:szCs w:val="32"/>
        </w:rPr>
      </w:pPr>
      <w:r>
        <w:rPr>
          <w:rFonts w:hint="eastAsia" w:ascii="楷体" w:hAnsi="楷体" w:eastAsia="楷体" w:cs="楷体"/>
          <w:sz w:val="32"/>
          <w:szCs w:val="32"/>
        </w:rPr>
        <w:t>第六章</w:t>
      </w:r>
      <w:r>
        <w:rPr>
          <w:rFonts w:hint="eastAsia" w:ascii="楷体" w:hAnsi="楷体" w:eastAsia="楷体" w:cs="楷体"/>
          <w:sz w:val="32"/>
          <w:szCs w:val="32"/>
          <w:lang w:val="en-US" w:eastAsia="zh-CN"/>
        </w:rPr>
        <w:t xml:space="preserve">  </w:t>
      </w:r>
      <w:r>
        <w:rPr>
          <w:rFonts w:hint="eastAsia" w:ascii="楷体" w:hAnsi="楷体" w:eastAsia="楷体" w:cs="楷体"/>
          <w:sz w:val="32"/>
          <w:szCs w:val="32"/>
        </w:rPr>
        <w:t>战备执勤</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left"/>
        <w:textAlignment w:val="auto"/>
        <w:outlineLvl w:val="9"/>
        <w:rPr>
          <w:rFonts w:hint="eastAsia" w:ascii="楷体" w:hAnsi="楷体" w:eastAsia="楷体" w:cs="楷体"/>
          <w:sz w:val="32"/>
          <w:szCs w:val="32"/>
        </w:rPr>
      </w:pPr>
      <w:r>
        <w:rPr>
          <w:rFonts w:hint="eastAsia" w:ascii="楷体" w:hAnsi="楷体" w:eastAsia="楷体" w:cs="楷体"/>
          <w:sz w:val="32"/>
          <w:szCs w:val="32"/>
        </w:rPr>
        <w:t>第七章</w:t>
      </w:r>
      <w:r>
        <w:rPr>
          <w:rFonts w:hint="eastAsia" w:ascii="楷体" w:hAnsi="楷体" w:eastAsia="楷体" w:cs="楷体"/>
          <w:sz w:val="32"/>
          <w:szCs w:val="32"/>
          <w:lang w:val="en-US" w:eastAsia="zh-CN"/>
        </w:rPr>
        <w:t xml:space="preserve">  </w:t>
      </w:r>
      <w:r>
        <w:rPr>
          <w:rFonts w:hint="eastAsia" w:ascii="楷体" w:hAnsi="楷体" w:eastAsia="楷体" w:cs="楷体"/>
          <w:sz w:val="32"/>
          <w:szCs w:val="32"/>
        </w:rPr>
        <w:t>武器装备</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left"/>
        <w:textAlignment w:val="auto"/>
        <w:outlineLvl w:val="9"/>
        <w:rPr>
          <w:rFonts w:hint="eastAsia" w:ascii="楷体" w:hAnsi="楷体" w:eastAsia="楷体" w:cs="楷体"/>
          <w:sz w:val="32"/>
          <w:szCs w:val="32"/>
        </w:rPr>
      </w:pPr>
      <w:r>
        <w:rPr>
          <w:rFonts w:hint="eastAsia" w:ascii="楷体" w:hAnsi="楷体" w:eastAsia="楷体" w:cs="楷体"/>
          <w:sz w:val="32"/>
          <w:szCs w:val="32"/>
        </w:rPr>
        <w:t>第八章</w:t>
      </w:r>
      <w:r>
        <w:rPr>
          <w:rFonts w:hint="eastAsia" w:ascii="楷体" w:hAnsi="楷体" w:eastAsia="楷体" w:cs="楷体"/>
          <w:sz w:val="32"/>
          <w:szCs w:val="32"/>
          <w:lang w:val="en-US" w:eastAsia="zh-CN"/>
        </w:rPr>
        <w:t xml:space="preserve">  </w:t>
      </w:r>
      <w:r>
        <w:rPr>
          <w:rFonts w:hint="eastAsia" w:ascii="楷体" w:hAnsi="楷体" w:eastAsia="楷体" w:cs="楷体"/>
          <w:sz w:val="32"/>
          <w:szCs w:val="32"/>
        </w:rPr>
        <w:t>法律责任</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left"/>
        <w:textAlignment w:val="auto"/>
        <w:outlineLvl w:val="9"/>
        <w:rPr>
          <w:rFonts w:hint="eastAsia" w:ascii="楷体" w:hAnsi="楷体" w:eastAsia="楷体" w:cs="楷体"/>
          <w:sz w:val="32"/>
          <w:szCs w:val="32"/>
        </w:rPr>
      </w:pPr>
      <w:r>
        <w:rPr>
          <w:rFonts w:hint="eastAsia" w:ascii="楷体" w:hAnsi="楷体" w:eastAsia="楷体" w:cs="楷体"/>
          <w:sz w:val="32"/>
          <w:szCs w:val="32"/>
        </w:rPr>
        <w:t>第九章</w:t>
      </w:r>
      <w:r>
        <w:rPr>
          <w:rFonts w:hint="eastAsia" w:ascii="楷体" w:hAnsi="楷体" w:eastAsia="楷体" w:cs="楷体"/>
          <w:sz w:val="32"/>
          <w:szCs w:val="32"/>
          <w:lang w:val="en-US" w:eastAsia="zh-CN"/>
        </w:rPr>
        <w:t xml:space="preserve">  </w:t>
      </w:r>
      <w:r>
        <w:rPr>
          <w:rFonts w:hint="eastAsia" w:ascii="楷体" w:hAnsi="楷体" w:eastAsia="楷体" w:cs="楷体"/>
          <w:sz w:val="32"/>
          <w:szCs w:val="32"/>
        </w:rPr>
        <w:t>附则</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left"/>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第一章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总则</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left"/>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left"/>
        <w:textAlignment w:val="auto"/>
        <w:outlineLvl w:val="9"/>
        <w:rPr>
          <w:rFonts w:hint="eastAsia" w:ascii="仿宋" w:hAnsi="仿宋" w:eastAsia="仿宋" w:cs="仿宋"/>
          <w:sz w:val="32"/>
          <w:szCs w:val="32"/>
        </w:rPr>
      </w:pPr>
      <w:r>
        <w:rPr>
          <w:rFonts w:hint="eastAsia" w:ascii="黑体" w:hAnsi="黑体" w:eastAsia="黑体" w:cs="黑体"/>
          <w:sz w:val="32"/>
          <w:szCs w:val="32"/>
        </w:rPr>
        <w:t>第一条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为了做好民兵预备役工作，促进国防后备力量建设，根据《中华人民共和国国防法》、《中华人民共和国兵役法》和《民兵工作条例》，结合本省实际，制定本条例。</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left"/>
        <w:textAlignment w:val="auto"/>
        <w:outlineLvl w:val="9"/>
        <w:rPr>
          <w:rFonts w:hint="eastAsia" w:ascii="仿宋" w:hAnsi="仿宋" w:eastAsia="仿宋" w:cs="仿宋"/>
          <w:sz w:val="32"/>
          <w:szCs w:val="32"/>
        </w:rPr>
      </w:pPr>
      <w:r>
        <w:rPr>
          <w:rFonts w:hint="eastAsia" w:ascii="黑体" w:hAnsi="黑体" w:eastAsia="黑体" w:cs="黑体"/>
          <w:sz w:val="32"/>
          <w:szCs w:val="32"/>
        </w:rPr>
        <w:t>第二条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本省行政区域内的机关、团体、企业事业单位和其他组织及公民，均须遵守本条例。</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left"/>
        <w:textAlignment w:val="auto"/>
        <w:outlineLvl w:val="9"/>
        <w:rPr>
          <w:rFonts w:hint="eastAsia" w:ascii="仿宋" w:hAnsi="仿宋" w:eastAsia="仿宋" w:cs="仿宋"/>
          <w:sz w:val="32"/>
          <w:szCs w:val="32"/>
        </w:rPr>
      </w:pPr>
      <w:r>
        <w:rPr>
          <w:rFonts w:hint="eastAsia" w:ascii="黑体" w:hAnsi="黑体" w:eastAsia="黑体" w:cs="黑体"/>
          <w:sz w:val="32"/>
          <w:szCs w:val="32"/>
        </w:rPr>
        <w:t>第三条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各级人民政府应当加强对民兵预备役工作的领导，组织、督促有关部门和单位做好民兵预备役工作。</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left"/>
        <w:textAlignment w:val="auto"/>
        <w:outlineLvl w:val="9"/>
        <w:rPr>
          <w:rFonts w:hint="eastAsia" w:ascii="仿宋" w:hAnsi="仿宋" w:eastAsia="仿宋" w:cs="仿宋"/>
          <w:sz w:val="32"/>
          <w:szCs w:val="32"/>
        </w:rPr>
      </w:pPr>
      <w:r>
        <w:rPr>
          <w:rFonts w:hint="eastAsia" w:ascii="黑体" w:hAnsi="黑体" w:eastAsia="黑体" w:cs="黑体"/>
          <w:sz w:val="32"/>
          <w:szCs w:val="32"/>
        </w:rPr>
        <w:t>第四条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省军区、军分区（警备区）和县（市、区）人民武装部（以下统称军事机关）在上级军事机关和同级人民政府领导下，负责办理本行政区域内的民兵预备役工作。</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left"/>
        <w:textAlignment w:val="auto"/>
        <w:outlineLvl w:val="9"/>
        <w:rPr>
          <w:rFonts w:hint="eastAsia" w:ascii="仿宋" w:hAnsi="仿宋" w:eastAsia="仿宋" w:cs="仿宋"/>
          <w:sz w:val="32"/>
          <w:szCs w:val="32"/>
        </w:rPr>
      </w:pPr>
      <w:r>
        <w:rPr>
          <w:rFonts w:hint="eastAsia" w:ascii="仿宋" w:hAnsi="仿宋" w:eastAsia="仿宋" w:cs="仿宋"/>
          <w:sz w:val="32"/>
          <w:szCs w:val="32"/>
        </w:rPr>
        <w:t>乡（镇）、街道和企业事业单位人民武装部，负责办理本地区、本单位的民兵预备役工作；未设人民武装部的单位，应当确定一个部门办理民兵预备役工作。</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left"/>
        <w:textAlignment w:val="auto"/>
        <w:outlineLvl w:val="9"/>
        <w:rPr>
          <w:rFonts w:hint="eastAsia" w:ascii="仿宋" w:hAnsi="仿宋" w:eastAsia="仿宋" w:cs="仿宋"/>
          <w:sz w:val="32"/>
          <w:szCs w:val="32"/>
        </w:rPr>
      </w:pPr>
      <w:r>
        <w:rPr>
          <w:rFonts w:hint="eastAsia" w:ascii="黑体" w:hAnsi="黑体" w:eastAsia="黑体" w:cs="黑体"/>
          <w:sz w:val="32"/>
          <w:szCs w:val="32"/>
        </w:rPr>
        <w:t>第五条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县级以上人民政府应当将民兵预备役工作经费列入财政预算。</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left"/>
        <w:textAlignment w:val="auto"/>
        <w:outlineLvl w:val="9"/>
        <w:rPr>
          <w:rFonts w:hint="eastAsia" w:ascii="仿宋" w:hAnsi="仿宋" w:eastAsia="仿宋" w:cs="仿宋"/>
          <w:sz w:val="32"/>
          <w:szCs w:val="32"/>
        </w:rPr>
      </w:pPr>
      <w:r>
        <w:rPr>
          <w:rFonts w:hint="eastAsia" w:ascii="仿宋" w:hAnsi="仿宋" w:eastAsia="仿宋" w:cs="仿宋"/>
          <w:sz w:val="32"/>
          <w:szCs w:val="32"/>
        </w:rPr>
        <w:t>乡（镇）人民政府、街道办事处和企业事业单位应当根据民兵预备役工作任务安排必要的民兵预备役工作经费。</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left"/>
        <w:textAlignment w:val="auto"/>
        <w:outlineLvl w:val="9"/>
        <w:rPr>
          <w:rFonts w:hint="eastAsia" w:ascii="仿宋" w:hAnsi="仿宋" w:eastAsia="仿宋" w:cs="仿宋"/>
          <w:sz w:val="32"/>
          <w:szCs w:val="32"/>
        </w:rPr>
      </w:pPr>
      <w:r>
        <w:rPr>
          <w:rFonts w:hint="eastAsia" w:ascii="黑体" w:hAnsi="黑体" w:eastAsia="黑体" w:cs="黑体"/>
          <w:sz w:val="32"/>
          <w:szCs w:val="32"/>
        </w:rPr>
        <w:t>第六条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依法做好民兵预备役工作，是机关、团体、企业事业单位和村（居）民委员会应尽的职责。</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left"/>
        <w:textAlignment w:val="auto"/>
        <w:outlineLvl w:val="9"/>
        <w:rPr>
          <w:rFonts w:hint="eastAsia" w:ascii="仿宋" w:hAnsi="仿宋" w:eastAsia="仿宋" w:cs="仿宋"/>
          <w:sz w:val="32"/>
          <w:szCs w:val="32"/>
        </w:rPr>
      </w:pPr>
      <w:r>
        <w:rPr>
          <w:rFonts w:hint="eastAsia" w:ascii="仿宋" w:hAnsi="仿宋" w:eastAsia="仿宋" w:cs="仿宋"/>
          <w:sz w:val="32"/>
          <w:szCs w:val="32"/>
        </w:rPr>
        <w:t>依法参加民兵组织和服预备役是适龄公民应尽的义务。公民参加民兵组织和服预备役的合法权益受法律保护。</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left"/>
        <w:textAlignment w:val="auto"/>
        <w:outlineLvl w:val="9"/>
        <w:rPr>
          <w:rFonts w:hint="eastAsia" w:ascii="仿宋" w:hAnsi="仿宋" w:eastAsia="仿宋" w:cs="仿宋"/>
          <w:sz w:val="32"/>
          <w:szCs w:val="32"/>
        </w:rPr>
      </w:pPr>
      <w:r>
        <w:rPr>
          <w:rFonts w:hint="eastAsia" w:ascii="黑体" w:hAnsi="黑体" w:eastAsia="黑体" w:cs="黑体"/>
          <w:sz w:val="32"/>
          <w:szCs w:val="32"/>
        </w:rPr>
        <w:t>第七条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民兵预备役工作应当服从国家经济建设大局，适应国防建设和社会主义市场经济需要，坚持平战结合、劳武结合，把民兵、预备役部队建设成为战时参战支前和平时应付突发事件、抢险救灾的重要快速动员力量。</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left"/>
        <w:textAlignment w:val="auto"/>
        <w:outlineLvl w:val="9"/>
        <w:rPr>
          <w:rFonts w:hint="eastAsia" w:ascii="仿宋" w:hAnsi="仿宋" w:eastAsia="仿宋" w:cs="仿宋"/>
          <w:sz w:val="32"/>
          <w:szCs w:val="32"/>
        </w:rPr>
      </w:pPr>
      <w:r>
        <w:rPr>
          <w:rFonts w:hint="eastAsia" w:ascii="黑体" w:hAnsi="黑体" w:eastAsia="黑体" w:cs="黑体"/>
          <w:sz w:val="32"/>
          <w:szCs w:val="32"/>
        </w:rPr>
        <w:t>第八条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对在民兵预备役工作中做出显著成绩的单位和个人，由人民政府、军事机关给予表彰和奖励。</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left"/>
        <w:textAlignment w:val="auto"/>
        <w:outlineLvl w:val="9"/>
        <w:rPr>
          <w:rFonts w:hint="eastAsia" w:ascii="仿宋" w:hAnsi="仿宋" w:eastAsia="仿宋" w:cs="仿宋"/>
          <w:sz w:val="32"/>
          <w:szCs w:val="32"/>
        </w:rPr>
      </w:pPr>
      <w:r>
        <w:rPr>
          <w:rFonts w:hint="eastAsia" w:ascii="仿宋" w:hAnsi="仿宋" w:eastAsia="仿宋" w:cs="仿宋"/>
          <w:sz w:val="32"/>
          <w:szCs w:val="32"/>
        </w:rPr>
        <w:t>对在战备执勤和军事训练中受伤、致残、牺牲的民兵、预备役人员，按照国家和省有关规定给予优待和抚恤。</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left"/>
        <w:textAlignment w:val="auto"/>
        <w:outlineLvl w:val="9"/>
        <w:rPr>
          <w:rFonts w:hint="eastAsia" w:ascii="仿宋" w:hAnsi="仿宋" w:eastAsia="仿宋" w:cs="仿宋"/>
          <w:sz w:val="32"/>
          <w:szCs w:val="32"/>
        </w:rPr>
      </w:pPr>
      <w:r>
        <w:rPr>
          <w:rFonts w:hint="eastAsia" w:ascii="仿宋" w:hAnsi="仿宋" w:eastAsia="仿宋" w:cs="仿宋"/>
          <w:sz w:val="32"/>
          <w:szCs w:val="32"/>
        </w:rPr>
        <w:t xml:space="preserve"> </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第二章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基层人民武装部和专职人民武装干部</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left"/>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left"/>
        <w:textAlignment w:val="auto"/>
        <w:outlineLvl w:val="9"/>
        <w:rPr>
          <w:rFonts w:hint="eastAsia" w:ascii="仿宋" w:hAnsi="仿宋" w:eastAsia="仿宋" w:cs="仿宋"/>
          <w:sz w:val="32"/>
          <w:szCs w:val="32"/>
        </w:rPr>
      </w:pPr>
      <w:r>
        <w:rPr>
          <w:rFonts w:hint="eastAsia" w:ascii="黑体" w:hAnsi="黑体" w:eastAsia="黑体" w:cs="黑体"/>
          <w:sz w:val="32"/>
          <w:szCs w:val="32"/>
        </w:rPr>
        <w:t>第九条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基层人民武装部是国防体制的组成部分。乡（镇）、街道应当设立人民武装部；企业事业单位按照国家和省有关规定设立人民武装部。</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left"/>
        <w:textAlignment w:val="auto"/>
        <w:outlineLvl w:val="9"/>
        <w:rPr>
          <w:rFonts w:hint="eastAsia" w:ascii="仿宋" w:hAnsi="仿宋" w:eastAsia="仿宋" w:cs="仿宋"/>
          <w:sz w:val="32"/>
          <w:szCs w:val="32"/>
        </w:rPr>
      </w:pPr>
      <w:r>
        <w:rPr>
          <w:rFonts w:hint="eastAsia" w:ascii="黑体" w:hAnsi="黑体" w:eastAsia="黑体" w:cs="黑体"/>
          <w:sz w:val="32"/>
          <w:szCs w:val="32"/>
        </w:rPr>
        <w:t>第十条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基层人民武装部应当配备专职人民武装干部。</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left"/>
        <w:textAlignment w:val="auto"/>
        <w:outlineLvl w:val="9"/>
        <w:rPr>
          <w:rFonts w:hint="eastAsia" w:ascii="仿宋" w:hAnsi="仿宋" w:eastAsia="仿宋" w:cs="仿宋"/>
          <w:sz w:val="32"/>
          <w:szCs w:val="32"/>
        </w:rPr>
      </w:pPr>
      <w:r>
        <w:rPr>
          <w:rFonts w:hint="eastAsia" w:ascii="仿宋" w:hAnsi="仿宋" w:eastAsia="仿宋" w:cs="仿宋"/>
          <w:sz w:val="32"/>
          <w:szCs w:val="32"/>
        </w:rPr>
        <w:t>专职人民武装干部的选拔、配备和管理，实行上级军事机关和同级人民政府双重领导体制。</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left"/>
        <w:textAlignment w:val="auto"/>
        <w:outlineLvl w:val="9"/>
        <w:rPr>
          <w:rFonts w:hint="eastAsia" w:ascii="仿宋" w:hAnsi="仿宋" w:eastAsia="仿宋" w:cs="仿宋"/>
          <w:sz w:val="32"/>
          <w:szCs w:val="32"/>
        </w:rPr>
      </w:pPr>
      <w:r>
        <w:rPr>
          <w:rFonts w:hint="eastAsia" w:ascii="黑体" w:hAnsi="黑体" w:eastAsia="黑体" w:cs="黑体"/>
          <w:sz w:val="32"/>
          <w:szCs w:val="32"/>
        </w:rPr>
        <w:t>第十一条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专职人民武装干部主要从人民武装学校毕业生和退出现役的军官中选配，也可以从大专院校毕业生和其他人员中选配。专职人民武装干部的录用，采用考试与考核相结合的办法，由县级人民政府有关部门和同级军事机关共同组织实施。</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left"/>
        <w:textAlignment w:val="auto"/>
        <w:outlineLvl w:val="9"/>
        <w:rPr>
          <w:rFonts w:hint="eastAsia" w:ascii="仿宋" w:hAnsi="仿宋" w:eastAsia="仿宋" w:cs="仿宋"/>
          <w:sz w:val="32"/>
          <w:szCs w:val="32"/>
        </w:rPr>
      </w:pPr>
      <w:r>
        <w:rPr>
          <w:rFonts w:hint="eastAsia" w:ascii="仿宋" w:hAnsi="仿宋" w:eastAsia="仿宋" w:cs="仿宋"/>
          <w:sz w:val="32"/>
          <w:szCs w:val="32"/>
        </w:rPr>
        <w:t>县级人民政府和企业事业单位应当将专职人民武装干部的培养、使用纳入本地区、本单位干部管理范围。</w:t>
      </w:r>
    </w:p>
    <w:p>
      <w:pPr>
        <w:keepNext w:val="0"/>
        <w:keepLines w:val="0"/>
        <w:pageBreakBefore w:val="0"/>
        <w:widowControl w:val="0"/>
        <w:kinsoku/>
        <w:wordWrap/>
        <w:overflowPunct/>
        <w:topLinePunct w:val="0"/>
        <w:autoSpaceDE/>
        <w:autoSpaceDN/>
        <w:bidi w:val="0"/>
        <w:adjustRightInd w:val="0"/>
        <w:snapToGrid w:val="0"/>
        <w:spacing w:line="560" w:lineRule="atLeast"/>
        <w:ind w:right="0" w:rightChars="0"/>
        <w:jc w:val="left"/>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val="0"/>
        <w:snapToGrid w:val="0"/>
        <w:spacing w:line="560" w:lineRule="atLeast"/>
        <w:ind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第三章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组织建设</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left"/>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left"/>
        <w:textAlignment w:val="auto"/>
        <w:outlineLvl w:val="9"/>
        <w:rPr>
          <w:rFonts w:hint="eastAsia" w:ascii="仿宋" w:hAnsi="仿宋" w:eastAsia="仿宋" w:cs="仿宋"/>
          <w:sz w:val="32"/>
          <w:szCs w:val="32"/>
        </w:rPr>
      </w:pPr>
      <w:r>
        <w:rPr>
          <w:rFonts w:hint="eastAsia" w:ascii="黑体" w:hAnsi="黑体" w:eastAsia="黑体" w:cs="黑体"/>
          <w:sz w:val="32"/>
          <w:szCs w:val="32"/>
        </w:rPr>
        <w:t>第十二条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乡（镇）和企业事业单位建立民兵组织。凡十八岁至三十五岁符合服兵役条件的男性公民，除应征服现役的以外，编入民兵组织服预备役。民兵干部的年龄可以适当放宽。</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left"/>
        <w:textAlignment w:val="auto"/>
        <w:outlineLvl w:val="9"/>
        <w:rPr>
          <w:rFonts w:hint="eastAsia" w:ascii="仿宋" w:hAnsi="仿宋" w:eastAsia="仿宋" w:cs="仿宋"/>
          <w:sz w:val="32"/>
          <w:szCs w:val="32"/>
        </w:rPr>
      </w:pPr>
      <w:r>
        <w:rPr>
          <w:rFonts w:hint="eastAsia" w:ascii="仿宋" w:hAnsi="仿宋" w:eastAsia="仿宋" w:cs="仿宋"/>
          <w:sz w:val="32"/>
          <w:szCs w:val="32"/>
        </w:rPr>
        <w:t>不建立民兵组织的单位，按照规定对符合服兵役条件的男性公民，进行预备役登记。</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left"/>
        <w:textAlignment w:val="auto"/>
        <w:outlineLvl w:val="9"/>
        <w:rPr>
          <w:rFonts w:hint="eastAsia" w:ascii="仿宋" w:hAnsi="仿宋" w:eastAsia="仿宋" w:cs="仿宋"/>
          <w:sz w:val="32"/>
          <w:szCs w:val="32"/>
        </w:rPr>
      </w:pPr>
      <w:r>
        <w:rPr>
          <w:rFonts w:hint="eastAsia" w:ascii="黑体" w:hAnsi="黑体" w:eastAsia="黑体" w:cs="黑体"/>
          <w:sz w:val="32"/>
          <w:szCs w:val="32"/>
        </w:rPr>
        <w:t>第十三条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民兵分为基干民兵和普通民兵。二十八岁以下的退出现役的士兵和经过军事训练的人员，以及选定参加军事训练的人员，编为基干民兵；其余十八岁至三十五岁符合服兵役条件的男性公民，编为普通民兵。</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left"/>
        <w:textAlignment w:val="auto"/>
        <w:outlineLvl w:val="9"/>
        <w:rPr>
          <w:rFonts w:hint="eastAsia" w:ascii="仿宋" w:hAnsi="仿宋" w:eastAsia="仿宋" w:cs="仿宋"/>
          <w:sz w:val="32"/>
          <w:szCs w:val="32"/>
        </w:rPr>
      </w:pPr>
      <w:r>
        <w:rPr>
          <w:rFonts w:hint="eastAsia" w:ascii="仿宋" w:hAnsi="仿宋" w:eastAsia="仿宋" w:cs="仿宋"/>
          <w:sz w:val="32"/>
          <w:szCs w:val="32"/>
        </w:rPr>
        <w:t>根据需要，吸收女性公民参加基干民兵。少数民族地区和城市有特殊情况的单位，基干民兵的年龄可以适当放宽。</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left"/>
        <w:textAlignment w:val="auto"/>
        <w:outlineLvl w:val="9"/>
        <w:rPr>
          <w:rFonts w:hint="eastAsia" w:ascii="仿宋" w:hAnsi="仿宋" w:eastAsia="仿宋" w:cs="仿宋"/>
          <w:sz w:val="32"/>
          <w:szCs w:val="32"/>
        </w:rPr>
      </w:pPr>
      <w:r>
        <w:rPr>
          <w:rFonts w:hint="eastAsia" w:ascii="黑体" w:hAnsi="黑体" w:eastAsia="黑体" w:cs="黑体"/>
          <w:sz w:val="32"/>
          <w:szCs w:val="32"/>
        </w:rPr>
        <w:t>第十四条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民兵按照便于领导、便于活动、便于执行任务的原则编组。农村一般以行政村为单位编民兵营；城镇一般以企业事业单位、街道为单位编民兵排、连、营、团。</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left"/>
        <w:textAlignment w:val="auto"/>
        <w:outlineLvl w:val="9"/>
        <w:rPr>
          <w:rFonts w:hint="eastAsia" w:ascii="仿宋" w:hAnsi="仿宋" w:eastAsia="仿宋" w:cs="仿宋"/>
          <w:sz w:val="32"/>
          <w:szCs w:val="32"/>
        </w:rPr>
      </w:pPr>
      <w:r>
        <w:rPr>
          <w:rFonts w:hint="eastAsia" w:ascii="仿宋" w:hAnsi="仿宋" w:eastAsia="仿宋" w:cs="仿宋"/>
          <w:sz w:val="32"/>
          <w:szCs w:val="32"/>
        </w:rPr>
        <w:t>已经配备民兵专业技术装备、器材的企业事业单位以及电信、交通、卫生、工程等与军事专业相关的单位，应当按照省人民政府和省军区的规定建立民兵专业技术分队。</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left"/>
        <w:textAlignment w:val="auto"/>
        <w:outlineLvl w:val="9"/>
        <w:rPr>
          <w:rFonts w:hint="eastAsia" w:ascii="仿宋" w:hAnsi="仿宋" w:eastAsia="仿宋" w:cs="仿宋"/>
          <w:sz w:val="32"/>
          <w:szCs w:val="32"/>
        </w:rPr>
      </w:pPr>
      <w:r>
        <w:rPr>
          <w:rFonts w:hint="eastAsia" w:ascii="仿宋" w:hAnsi="仿宋" w:eastAsia="仿宋" w:cs="仿宋"/>
          <w:sz w:val="32"/>
          <w:szCs w:val="32"/>
        </w:rPr>
        <w:t>县级以上人民政府所在地和战备重点乡（镇），应当根据当地人民政府和军事机关的规定，建立民兵应急分队。</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left"/>
        <w:textAlignment w:val="auto"/>
        <w:outlineLvl w:val="9"/>
        <w:rPr>
          <w:rFonts w:hint="eastAsia" w:ascii="仿宋" w:hAnsi="仿宋" w:eastAsia="仿宋" w:cs="仿宋"/>
          <w:sz w:val="32"/>
          <w:szCs w:val="32"/>
        </w:rPr>
      </w:pPr>
      <w:r>
        <w:rPr>
          <w:rFonts w:hint="eastAsia" w:ascii="黑体" w:hAnsi="黑体" w:eastAsia="黑体" w:cs="黑体"/>
          <w:sz w:val="32"/>
          <w:szCs w:val="32"/>
        </w:rPr>
        <w:t>第十五条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预备役部队的编组按照国家有关规定办理。</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left"/>
        <w:textAlignment w:val="auto"/>
        <w:outlineLvl w:val="9"/>
        <w:rPr>
          <w:rFonts w:hint="eastAsia" w:ascii="仿宋" w:hAnsi="仿宋" w:eastAsia="仿宋" w:cs="仿宋"/>
          <w:sz w:val="32"/>
          <w:szCs w:val="32"/>
        </w:rPr>
      </w:pPr>
      <w:r>
        <w:rPr>
          <w:rFonts w:hint="eastAsia" w:ascii="仿宋" w:hAnsi="仿宋" w:eastAsia="仿宋" w:cs="仿宋"/>
          <w:sz w:val="32"/>
          <w:szCs w:val="32"/>
        </w:rPr>
        <w:t>编入预备役部队的预备役人员分预任军官和预编士兵，从退出现役的军官、士兵、基干民兵和其他预备役人员中选配。</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left"/>
        <w:textAlignment w:val="auto"/>
        <w:outlineLvl w:val="9"/>
        <w:rPr>
          <w:rFonts w:hint="eastAsia" w:ascii="仿宋" w:hAnsi="仿宋" w:eastAsia="仿宋" w:cs="仿宋"/>
          <w:sz w:val="32"/>
          <w:szCs w:val="32"/>
        </w:rPr>
      </w:pPr>
      <w:r>
        <w:rPr>
          <w:rFonts w:hint="eastAsia" w:ascii="黑体" w:hAnsi="黑体" w:eastAsia="黑体" w:cs="黑体"/>
          <w:sz w:val="32"/>
          <w:szCs w:val="32"/>
        </w:rPr>
        <w:t>第十六条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民兵组织、预备役部队每年进行一次组织整顿，办理出队、入队和转队工作。</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left"/>
        <w:textAlignment w:val="auto"/>
        <w:outlineLvl w:val="9"/>
        <w:rPr>
          <w:rFonts w:hint="eastAsia" w:ascii="仿宋" w:hAnsi="仿宋" w:eastAsia="仿宋" w:cs="仿宋"/>
          <w:sz w:val="32"/>
          <w:szCs w:val="32"/>
        </w:rPr>
      </w:pPr>
      <w:r>
        <w:rPr>
          <w:rFonts w:hint="eastAsia" w:ascii="仿宋" w:hAnsi="仿宋" w:eastAsia="仿宋" w:cs="仿宋"/>
          <w:sz w:val="32"/>
          <w:szCs w:val="32"/>
        </w:rPr>
        <w:t>基干民兵、编入预备役部队的预备役人员外出三十日以上的，应当定期与所在民兵组织、预备役部队联系，在接到召回通知后，必须按期归队。</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left"/>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第四章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政治工作</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left"/>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left"/>
        <w:textAlignment w:val="auto"/>
        <w:outlineLvl w:val="9"/>
        <w:rPr>
          <w:rFonts w:hint="eastAsia" w:ascii="仿宋" w:hAnsi="仿宋" w:eastAsia="仿宋" w:cs="仿宋"/>
          <w:sz w:val="32"/>
          <w:szCs w:val="32"/>
        </w:rPr>
      </w:pPr>
      <w:r>
        <w:rPr>
          <w:rFonts w:hint="eastAsia" w:ascii="黑体" w:hAnsi="黑体" w:eastAsia="黑体" w:cs="黑体"/>
          <w:sz w:val="32"/>
          <w:szCs w:val="32"/>
        </w:rPr>
        <w:t>第十七条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基层人民武装部和预备役部队应当会同当地有关部门，对拟编入基干民兵组织、预备役部队的人员进行入队前的政治审查和现实表现的考察，保证其政治合格。</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left"/>
        <w:textAlignment w:val="auto"/>
        <w:outlineLvl w:val="9"/>
        <w:rPr>
          <w:rFonts w:hint="eastAsia" w:ascii="仿宋" w:hAnsi="仿宋" w:eastAsia="仿宋" w:cs="仿宋"/>
          <w:sz w:val="32"/>
          <w:szCs w:val="32"/>
        </w:rPr>
      </w:pPr>
      <w:r>
        <w:rPr>
          <w:rFonts w:hint="eastAsia" w:ascii="黑体" w:hAnsi="黑体" w:eastAsia="黑体" w:cs="黑体"/>
          <w:sz w:val="32"/>
          <w:szCs w:val="32"/>
        </w:rPr>
        <w:t>第十八条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民兵、预备役人员的政治教育，以国防教育为重点，进行爱国主义、革命英雄主义、形势战备和法制教育，增强国防观念，自觉履行兵役义务。</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left"/>
        <w:textAlignment w:val="auto"/>
        <w:outlineLvl w:val="9"/>
        <w:rPr>
          <w:rFonts w:hint="eastAsia" w:ascii="仿宋" w:hAnsi="仿宋" w:eastAsia="仿宋" w:cs="仿宋"/>
          <w:sz w:val="32"/>
          <w:szCs w:val="32"/>
        </w:rPr>
      </w:pPr>
      <w:r>
        <w:rPr>
          <w:rFonts w:hint="eastAsia" w:ascii="黑体" w:hAnsi="黑体" w:eastAsia="黑体" w:cs="黑体"/>
          <w:sz w:val="32"/>
          <w:szCs w:val="32"/>
        </w:rPr>
        <w:t>第十九条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基干民兵和预备役部队的预备役人员的政治教育，采取集中教育与其他方式相结合的办法进行，集中教育纳入军事训练计划，与军事训练统一实施；其他预备役人员的政治教育结合民兵组织整顿、预备役登记、征兵和重大节日活动进行。</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left"/>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第五章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军事训练</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left"/>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left"/>
        <w:textAlignment w:val="auto"/>
        <w:outlineLvl w:val="9"/>
        <w:rPr>
          <w:rFonts w:hint="eastAsia" w:ascii="仿宋" w:hAnsi="仿宋" w:eastAsia="仿宋" w:cs="仿宋"/>
          <w:sz w:val="32"/>
          <w:szCs w:val="32"/>
        </w:rPr>
      </w:pPr>
      <w:r>
        <w:rPr>
          <w:rFonts w:hint="eastAsia" w:ascii="黑体" w:hAnsi="黑体" w:eastAsia="黑体" w:cs="黑体"/>
          <w:sz w:val="32"/>
          <w:szCs w:val="32"/>
        </w:rPr>
        <w:t>第二十条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民兵、预备役人员的军事训练，由县（市、区）人民武装部和预备役部队根据上级军事机关下达的军事训练任务制定计划并组织实施。</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left"/>
        <w:textAlignment w:val="auto"/>
        <w:outlineLvl w:val="9"/>
        <w:rPr>
          <w:rFonts w:hint="eastAsia" w:ascii="仿宋" w:hAnsi="仿宋" w:eastAsia="仿宋" w:cs="仿宋"/>
          <w:sz w:val="32"/>
          <w:szCs w:val="32"/>
        </w:rPr>
      </w:pPr>
      <w:r>
        <w:rPr>
          <w:rFonts w:hint="eastAsia" w:ascii="黑体" w:hAnsi="黑体" w:eastAsia="黑体" w:cs="黑体"/>
          <w:sz w:val="32"/>
          <w:szCs w:val="32"/>
        </w:rPr>
        <w:t>第二十一条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民兵、预备役人员应当依法参加军事训练。</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left"/>
        <w:textAlignment w:val="auto"/>
        <w:outlineLvl w:val="9"/>
        <w:rPr>
          <w:rFonts w:hint="eastAsia" w:ascii="仿宋" w:hAnsi="仿宋" w:eastAsia="仿宋" w:cs="仿宋"/>
          <w:sz w:val="32"/>
          <w:szCs w:val="32"/>
        </w:rPr>
      </w:pPr>
      <w:r>
        <w:rPr>
          <w:rFonts w:hint="eastAsia" w:ascii="仿宋" w:hAnsi="仿宋" w:eastAsia="仿宋" w:cs="仿宋"/>
          <w:sz w:val="32"/>
          <w:szCs w:val="32"/>
        </w:rPr>
        <w:t>乡（镇）人民政府、街道办事处、村（居）民委员会和机关、团体、企业事业单位应当为参加军事训练人员提供条件。</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left"/>
        <w:textAlignment w:val="auto"/>
        <w:outlineLvl w:val="9"/>
        <w:rPr>
          <w:rFonts w:hint="eastAsia" w:ascii="仿宋" w:hAnsi="仿宋" w:eastAsia="仿宋" w:cs="仿宋"/>
          <w:sz w:val="32"/>
          <w:szCs w:val="32"/>
        </w:rPr>
      </w:pPr>
      <w:r>
        <w:rPr>
          <w:rFonts w:hint="eastAsia" w:ascii="黑体" w:hAnsi="黑体" w:eastAsia="黑体" w:cs="黑体"/>
          <w:sz w:val="32"/>
          <w:szCs w:val="32"/>
        </w:rPr>
        <w:t>第二十二条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民兵、预备役人员的军事训练，一般集中在民兵、预备役部队的军事训练基地进行。</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left"/>
        <w:textAlignment w:val="auto"/>
        <w:outlineLvl w:val="9"/>
        <w:rPr>
          <w:rFonts w:hint="eastAsia" w:ascii="仿宋" w:hAnsi="仿宋" w:eastAsia="仿宋" w:cs="仿宋"/>
          <w:sz w:val="32"/>
          <w:szCs w:val="32"/>
        </w:rPr>
      </w:pPr>
      <w:r>
        <w:rPr>
          <w:rFonts w:hint="eastAsia" w:ascii="仿宋" w:hAnsi="仿宋" w:eastAsia="仿宋" w:cs="仿宋"/>
          <w:sz w:val="32"/>
          <w:szCs w:val="32"/>
        </w:rPr>
        <w:t>民兵、预备役部队军事训练基地由县级以上人民政府投资修建。民兵的军事训练基地由县（市、区）人民武装部管理，预备役部队的军事训练基地由预备役部队管理。</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left"/>
        <w:textAlignment w:val="auto"/>
        <w:outlineLvl w:val="9"/>
        <w:rPr>
          <w:rFonts w:hint="eastAsia" w:ascii="仿宋" w:hAnsi="仿宋" w:eastAsia="仿宋" w:cs="仿宋"/>
          <w:sz w:val="32"/>
          <w:szCs w:val="32"/>
        </w:rPr>
      </w:pPr>
      <w:r>
        <w:rPr>
          <w:rFonts w:hint="eastAsia" w:ascii="黑体" w:hAnsi="黑体" w:eastAsia="黑体" w:cs="黑体"/>
          <w:sz w:val="32"/>
          <w:szCs w:val="32"/>
        </w:rPr>
        <w:t>第二十三条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农村民兵、预备役人员参加军事训练的费用按照国家有关规定列支。</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left"/>
        <w:textAlignment w:val="auto"/>
        <w:outlineLvl w:val="9"/>
        <w:rPr>
          <w:rFonts w:hint="eastAsia" w:ascii="仿宋" w:hAnsi="仿宋" w:eastAsia="仿宋" w:cs="仿宋"/>
          <w:sz w:val="32"/>
          <w:szCs w:val="32"/>
        </w:rPr>
      </w:pPr>
      <w:r>
        <w:rPr>
          <w:rFonts w:hint="eastAsia" w:ascii="仿宋" w:hAnsi="仿宋" w:eastAsia="仿宋" w:cs="仿宋"/>
          <w:sz w:val="32"/>
          <w:szCs w:val="32"/>
        </w:rPr>
        <w:t>机关、团体、企业事业单位和街道的民兵、预备役人员参加军事训练的误工补贴，按照均衡负担的原则解决，由设区的市、自治州人民政府提出方案，报省人民政府批准执行。</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left"/>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第六章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战备执勤</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left"/>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left"/>
        <w:textAlignment w:val="auto"/>
        <w:outlineLvl w:val="9"/>
        <w:rPr>
          <w:rFonts w:hint="eastAsia" w:ascii="仿宋" w:hAnsi="仿宋" w:eastAsia="仿宋" w:cs="仿宋"/>
          <w:sz w:val="32"/>
          <w:szCs w:val="32"/>
        </w:rPr>
      </w:pPr>
      <w:r>
        <w:rPr>
          <w:rFonts w:hint="eastAsia" w:ascii="黑体" w:hAnsi="黑体" w:eastAsia="黑体" w:cs="黑体"/>
          <w:sz w:val="32"/>
          <w:szCs w:val="32"/>
        </w:rPr>
        <w:t>第二十四条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民兵、预备役人员战备执勤的主要任务是：</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left"/>
        <w:textAlignment w:val="auto"/>
        <w:outlineLvl w:val="9"/>
        <w:rPr>
          <w:rFonts w:hint="eastAsia" w:ascii="仿宋" w:hAnsi="仿宋" w:eastAsia="仿宋" w:cs="仿宋"/>
          <w:sz w:val="32"/>
          <w:szCs w:val="32"/>
        </w:rPr>
      </w:pPr>
      <w:r>
        <w:rPr>
          <w:rFonts w:hint="eastAsia" w:ascii="仿宋" w:hAnsi="仿宋" w:eastAsia="仿宋" w:cs="仿宋"/>
          <w:sz w:val="32"/>
          <w:szCs w:val="32"/>
        </w:rPr>
        <w:t>（一）协同人民解放军、人民武装警察部队守护重点战备地区和重要目标；</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left"/>
        <w:textAlignment w:val="auto"/>
        <w:outlineLvl w:val="9"/>
        <w:rPr>
          <w:rFonts w:hint="eastAsia" w:ascii="仿宋" w:hAnsi="仿宋" w:eastAsia="仿宋" w:cs="仿宋"/>
          <w:sz w:val="32"/>
          <w:szCs w:val="32"/>
        </w:rPr>
      </w:pPr>
      <w:r>
        <w:rPr>
          <w:rFonts w:hint="eastAsia" w:ascii="仿宋" w:hAnsi="仿宋" w:eastAsia="仿宋" w:cs="仿宋"/>
          <w:sz w:val="32"/>
          <w:szCs w:val="32"/>
        </w:rPr>
        <w:t>（二）协助公安机关维护社会治安；</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left"/>
        <w:textAlignment w:val="auto"/>
        <w:outlineLvl w:val="9"/>
        <w:rPr>
          <w:rFonts w:hint="eastAsia" w:ascii="仿宋" w:hAnsi="仿宋" w:eastAsia="仿宋" w:cs="仿宋"/>
          <w:sz w:val="32"/>
          <w:szCs w:val="32"/>
        </w:rPr>
      </w:pPr>
      <w:r>
        <w:rPr>
          <w:rFonts w:hint="eastAsia" w:ascii="仿宋" w:hAnsi="仿宋" w:eastAsia="仿宋" w:cs="仿宋"/>
          <w:sz w:val="32"/>
          <w:szCs w:val="32"/>
        </w:rPr>
        <w:t xml:space="preserve">（三）参加抢险救灾，保护国家财产和人民群众生命、财产的安全； </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left"/>
        <w:textAlignment w:val="auto"/>
        <w:outlineLvl w:val="9"/>
        <w:rPr>
          <w:rFonts w:hint="eastAsia" w:ascii="仿宋" w:hAnsi="仿宋" w:eastAsia="仿宋" w:cs="仿宋"/>
          <w:sz w:val="32"/>
          <w:szCs w:val="32"/>
        </w:rPr>
      </w:pPr>
      <w:r>
        <w:rPr>
          <w:rFonts w:hint="eastAsia" w:ascii="仿宋" w:hAnsi="仿宋" w:eastAsia="仿宋" w:cs="仿宋"/>
          <w:sz w:val="32"/>
          <w:szCs w:val="32"/>
        </w:rPr>
        <w:t>（四）配合部队作战或者独立作战，担负战斗勤务，支援前线、保卫后方；</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left"/>
        <w:textAlignment w:val="auto"/>
        <w:outlineLvl w:val="9"/>
        <w:rPr>
          <w:rFonts w:hint="eastAsia" w:ascii="仿宋" w:hAnsi="仿宋" w:eastAsia="仿宋" w:cs="仿宋"/>
          <w:sz w:val="32"/>
          <w:szCs w:val="32"/>
        </w:rPr>
      </w:pPr>
      <w:r>
        <w:rPr>
          <w:rFonts w:hint="eastAsia" w:ascii="仿宋" w:hAnsi="仿宋" w:eastAsia="仿宋" w:cs="仿宋"/>
          <w:sz w:val="32"/>
          <w:szCs w:val="32"/>
        </w:rPr>
        <w:t>（五）人民政府和军事机关交办的其他任务。</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left"/>
        <w:textAlignment w:val="auto"/>
        <w:outlineLvl w:val="9"/>
        <w:rPr>
          <w:rFonts w:hint="eastAsia" w:ascii="仿宋" w:hAnsi="仿宋" w:eastAsia="仿宋" w:cs="仿宋"/>
          <w:sz w:val="32"/>
          <w:szCs w:val="32"/>
        </w:rPr>
      </w:pPr>
      <w:r>
        <w:rPr>
          <w:rFonts w:hint="eastAsia" w:ascii="黑体" w:hAnsi="黑体" w:eastAsia="黑体" w:cs="黑体"/>
          <w:sz w:val="32"/>
          <w:szCs w:val="32"/>
        </w:rPr>
        <w:t>第二十五条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组织民兵、预备役人员参加战备执勤，应当按照有关规定办理批准手续，由县（市、区）人民武装部和预备役部队组织实施，有关部门应当予以协助。</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left"/>
        <w:textAlignment w:val="auto"/>
        <w:outlineLvl w:val="9"/>
        <w:rPr>
          <w:rFonts w:hint="eastAsia" w:ascii="仿宋" w:hAnsi="仿宋" w:eastAsia="仿宋" w:cs="仿宋"/>
          <w:sz w:val="32"/>
          <w:szCs w:val="32"/>
        </w:rPr>
      </w:pPr>
      <w:r>
        <w:rPr>
          <w:rFonts w:hint="eastAsia" w:ascii="黑体" w:hAnsi="黑体" w:eastAsia="黑体" w:cs="黑体"/>
          <w:sz w:val="32"/>
          <w:szCs w:val="32"/>
        </w:rPr>
        <w:t>第二十六条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民兵、预备役人员担负战备执勤任务的报酬或者补助，由使用单位支付。</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left"/>
        <w:textAlignment w:val="auto"/>
        <w:outlineLvl w:val="9"/>
        <w:rPr>
          <w:rFonts w:hint="eastAsia" w:ascii="仿宋" w:hAnsi="仿宋" w:eastAsia="仿宋" w:cs="仿宋"/>
          <w:sz w:val="32"/>
          <w:szCs w:val="32"/>
        </w:rPr>
      </w:pPr>
      <w:r>
        <w:rPr>
          <w:rFonts w:hint="eastAsia" w:ascii="黑体" w:hAnsi="黑体" w:eastAsia="黑体" w:cs="黑体"/>
          <w:sz w:val="32"/>
          <w:szCs w:val="32"/>
        </w:rPr>
        <w:t>第二十七条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民兵、预备役人员不得拒绝、逃避执行战备执勤任务。</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left"/>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第七章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武器装备</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left"/>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left"/>
        <w:textAlignment w:val="auto"/>
        <w:outlineLvl w:val="9"/>
        <w:rPr>
          <w:rFonts w:hint="eastAsia" w:ascii="仿宋" w:hAnsi="仿宋" w:eastAsia="仿宋" w:cs="仿宋"/>
          <w:sz w:val="32"/>
          <w:szCs w:val="32"/>
        </w:rPr>
      </w:pPr>
      <w:r>
        <w:rPr>
          <w:rFonts w:hint="eastAsia" w:ascii="黑体" w:hAnsi="黑体" w:eastAsia="黑体" w:cs="黑体"/>
          <w:sz w:val="32"/>
          <w:szCs w:val="32"/>
        </w:rPr>
        <w:t>第二十八条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民兵、预备役部队按照国家规定配备武器装备。</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left"/>
        <w:textAlignment w:val="auto"/>
        <w:outlineLvl w:val="9"/>
        <w:rPr>
          <w:rFonts w:hint="eastAsia" w:ascii="仿宋" w:hAnsi="仿宋" w:eastAsia="仿宋" w:cs="仿宋"/>
          <w:sz w:val="32"/>
          <w:szCs w:val="32"/>
        </w:rPr>
      </w:pPr>
      <w:r>
        <w:rPr>
          <w:rFonts w:hint="eastAsia" w:ascii="黑体" w:hAnsi="黑体" w:eastAsia="黑体" w:cs="黑体"/>
          <w:sz w:val="32"/>
          <w:szCs w:val="32"/>
        </w:rPr>
        <w:t>第二十九条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县（市、区）人民政府和配备民兵、预备役部队武器装备的企业事业单位，应当按照国家规定修建民兵、预备役部队武器装备库（室），并配备必要的守护人员。</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left"/>
        <w:textAlignment w:val="auto"/>
        <w:outlineLvl w:val="9"/>
        <w:rPr>
          <w:rFonts w:hint="eastAsia" w:ascii="仿宋" w:hAnsi="仿宋" w:eastAsia="仿宋" w:cs="仿宋"/>
          <w:sz w:val="32"/>
          <w:szCs w:val="32"/>
        </w:rPr>
      </w:pPr>
      <w:r>
        <w:rPr>
          <w:rFonts w:hint="eastAsia" w:ascii="仿宋" w:hAnsi="仿宋" w:eastAsia="仿宋" w:cs="仿宋"/>
          <w:sz w:val="32"/>
          <w:szCs w:val="32"/>
        </w:rPr>
        <w:t>公安机关应当将民兵、预备役部队武器装备库（室）列为重要安全保卫目标。</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left"/>
        <w:textAlignment w:val="auto"/>
        <w:outlineLvl w:val="9"/>
        <w:rPr>
          <w:rFonts w:hint="eastAsia" w:ascii="仿宋" w:hAnsi="仿宋" w:eastAsia="仿宋" w:cs="仿宋"/>
          <w:sz w:val="32"/>
          <w:szCs w:val="32"/>
        </w:rPr>
      </w:pPr>
      <w:r>
        <w:rPr>
          <w:rFonts w:hint="eastAsia" w:ascii="黑体" w:hAnsi="黑体" w:eastAsia="黑体" w:cs="黑体"/>
          <w:sz w:val="32"/>
          <w:szCs w:val="32"/>
        </w:rPr>
        <w:t>第三十条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人民武装部、民兵组织和预备役部队应当加强对民兵、预备役部队武器装备的管理，防止损坏、丢失、被抢、被盗，保证武器装备经常处于良好状态。</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left"/>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第八章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法律责任</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left"/>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left"/>
        <w:textAlignment w:val="auto"/>
        <w:outlineLvl w:val="9"/>
        <w:rPr>
          <w:rFonts w:hint="eastAsia" w:ascii="仿宋" w:hAnsi="仿宋" w:eastAsia="仿宋" w:cs="仿宋"/>
          <w:sz w:val="32"/>
          <w:szCs w:val="32"/>
        </w:rPr>
      </w:pPr>
      <w:r>
        <w:rPr>
          <w:rFonts w:hint="eastAsia" w:ascii="黑体" w:hAnsi="黑体" w:eastAsia="黑体" w:cs="黑体"/>
          <w:sz w:val="32"/>
          <w:szCs w:val="32"/>
        </w:rPr>
        <w:t>第三十一条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符合条件的公民拒绝参加民兵组织、预备役部队或者进行预备役登记，民兵、预备役人员拒绝、逃避军事训练和战备执勤任务的，由县级人民政府责令限期改正；逾期不改正的，由县级人民政府强制其履行义务，并可以处二百元以上一千元以下罚款。</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left"/>
        <w:textAlignment w:val="auto"/>
        <w:outlineLvl w:val="9"/>
        <w:rPr>
          <w:rFonts w:hint="eastAsia" w:ascii="仿宋" w:hAnsi="仿宋" w:eastAsia="仿宋" w:cs="仿宋"/>
          <w:sz w:val="32"/>
          <w:szCs w:val="32"/>
        </w:rPr>
      </w:pPr>
      <w:r>
        <w:rPr>
          <w:rFonts w:hint="eastAsia" w:ascii="黑体" w:hAnsi="黑体" w:eastAsia="黑体" w:cs="黑体"/>
          <w:sz w:val="32"/>
          <w:szCs w:val="32"/>
        </w:rPr>
        <w:t>第三十二条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有关单位应当建立民兵组织、预备役部队或者基层人民武装部而拒绝建立的，或者阻挠民兵、预备役人员履行义务的，由县级人民政府责令改正，并可以处二千元以上一万元以下罚款；对单位直接负责的主管人员和其他直接责任人员可以处二百元以上一千元以下罚款，并依法给予行政处分。</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left"/>
        <w:textAlignment w:val="auto"/>
        <w:outlineLvl w:val="9"/>
        <w:rPr>
          <w:rFonts w:hint="eastAsia" w:ascii="仿宋" w:hAnsi="仿宋" w:eastAsia="仿宋" w:cs="仿宋"/>
          <w:sz w:val="32"/>
          <w:szCs w:val="32"/>
        </w:rPr>
      </w:pPr>
      <w:r>
        <w:rPr>
          <w:rFonts w:hint="eastAsia" w:ascii="黑体" w:hAnsi="黑体" w:eastAsia="黑体" w:cs="黑体"/>
          <w:sz w:val="32"/>
          <w:szCs w:val="32"/>
        </w:rPr>
        <w:t>第三十三条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扰乱民兵、预备役工作秩序，或者阻碍民兵、预备役工作人员依法执行职务的，依照《中华人民共和国治安管理处罚法》给予处罚；构成犯罪的，依法追究刑事责任。</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left"/>
        <w:textAlignment w:val="auto"/>
        <w:outlineLvl w:val="9"/>
        <w:rPr>
          <w:rFonts w:hint="eastAsia" w:ascii="仿宋" w:hAnsi="仿宋" w:eastAsia="仿宋" w:cs="仿宋"/>
          <w:sz w:val="32"/>
          <w:szCs w:val="32"/>
        </w:rPr>
      </w:pPr>
      <w:r>
        <w:rPr>
          <w:rFonts w:hint="eastAsia" w:ascii="黑体" w:hAnsi="黑体" w:eastAsia="黑体" w:cs="黑体"/>
          <w:sz w:val="32"/>
          <w:szCs w:val="32"/>
        </w:rPr>
        <w:t>第三十四条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民兵、预备役工作人员和其他有关人员在民兵、预备役工作中玩忽职守，滥用职权，徇私舞弊的，依法给予行政处分；构成犯罪的，依法追究刑事责任。</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left"/>
        <w:textAlignment w:val="auto"/>
        <w:outlineLvl w:val="9"/>
        <w:rPr>
          <w:rFonts w:hint="eastAsia" w:ascii="仿宋" w:hAnsi="仿宋" w:eastAsia="仿宋" w:cs="仿宋"/>
          <w:sz w:val="32"/>
          <w:szCs w:val="32"/>
        </w:rPr>
      </w:pPr>
      <w:bookmarkStart w:id="0" w:name="_GoBack"/>
      <w:bookmarkEnd w:id="0"/>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第九章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附则</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left"/>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left"/>
        <w:textAlignment w:val="auto"/>
        <w:outlineLvl w:val="9"/>
        <w:rPr>
          <w:rFonts w:hint="eastAsia" w:ascii="仿宋" w:hAnsi="仿宋" w:eastAsia="仿宋" w:cs="仿宋"/>
          <w:sz w:val="32"/>
          <w:szCs w:val="32"/>
        </w:rPr>
      </w:pPr>
      <w:r>
        <w:rPr>
          <w:rFonts w:hint="eastAsia" w:ascii="黑体" w:hAnsi="黑体" w:eastAsia="黑体" w:cs="黑体"/>
          <w:sz w:val="32"/>
          <w:szCs w:val="32"/>
        </w:rPr>
        <w:t>第三十五条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本条例自2000年3月1日起施行。</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left"/>
        <w:textAlignment w:val="auto"/>
        <w:outlineLvl w:val="9"/>
        <w:rPr>
          <w:rFonts w:hint="eastAsia" w:ascii="仿宋" w:hAnsi="仿宋" w:eastAsia="仿宋" w:cs="仿宋"/>
          <w:sz w:val="32"/>
          <w:szCs w:val="32"/>
        </w:rPr>
      </w:pPr>
    </w:p>
    <w:sectPr>
      <w:footerReference r:id="rId3" w:type="default"/>
      <w:footerReference r:id="rId4" w:type="even"/>
      <w:pgSz w:w="11906" w:h="16838"/>
      <w:pgMar w:top="2154" w:right="1531" w:bottom="1814" w:left="1531" w:header="851" w:footer="1247" w:gutter="0"/>
      <w:pgNumType w:fmt="numberInDash"/>
      <w:cols w:space="0" w:num="1"/>
      <w:rtlGutter w:val="0"/>
      <w:docGrid w:type="lines" w:linePitch="313"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A00002EF" w:usb1="4000207B" w:usb2="00000000" w:usb3="00000000" w:csb0="2000019F" w:csb1="00000000"/>
  </w:font>
  <w:font w:name="@宋体">
    <w:panose1 w:val="02010600030101010101"/>
    <w:charset w:val="86"/>
    <w:family w:val="auto"/>
    <w:pitch w:val="default"/>
    <w:sig w:usb0="00000003" w:usb1="288F0000" w:usb2="00000006" w:usb3="00000000" w:csb0="00040001" w:csb1="0000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val="0"/>
                            <w:snapToGrid w:val="0"/>
                            <w:spacing w:line="240" w:lineRule="auto"/>
                            <w:ind w:left="0" w:leftChars="0" w:right="210" w:rightChars="100" w:firstLine="0" w:firstLineChars="0"/>
                            <w:jc w:val="both"/>
                            <w:textAlignment w:val="auto"/>
                            <w:outlineLvl w:val="9"/>
                            <w:rPr>
                              <w:rFonts w:hint="eastAsia" w:asciiTheme="minorEastAsia" w:hAnsiTheme="minorEastAsia" w:eastAsiaTheme="minorEastAsia" w:cstheme="minorEastAsia"/>
                              <w:sz w:val="28"/>
                              <w:szCs w:val="28"/>
                              <w:lang w:eastAsia="zh-CN"/>
                            </w:rPr>
                          </w:pP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PAGE  \* MERGEFORMAT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sz w:val="28"/>
                              <w:szCs w:val="28"/>
                            </w:rPr>
                            <w:t>1</w:t>
                          </w:r>
                          <w:r>
                            <w:rPr>
                              <w:rFonts w:hint="eastAsia" w:asciiTheme="minorEastAsia" w:hAnsiTheme="minorEastAsia" w:eastAsiaTheme="minorEastAsia" w:cstheme="minorEastAsia"/>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uto"/>
                      <w:ind w:left="0" w:leftChars="0" w:right="210" w:rightChars="100" w:firstLine="0" w:firstLineChars="0"/>
                      <w:jc w:val="both"/>
                      <w:textAlignment w:val="auto"/>
                      <w:outlineLvl w:val="9"/>
                      <w:rPr>
                        <w:rFonts w:hint="eastAsia" w:asciiTheme="minorEastAsia" w:hAnsiTheme="minorEastAsia" w:eastAsiaTheme="minorEastAsia" w:cstheme="minorEastAsia"/>
                        <w:sz w:val="28"/>
                        <w:szCs w:val="28"/>
                        <w:lang w:eastAsia="zh-CN"/>
                      </w:rPr>
                    </w:pP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PAGE  \* MERGEFORMAT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sz w:val="28"/>
                        <w:szCs w:val="28"/>
                      </w:rPr>
                      <w:t>1</w:t>
                    </w:r>
                    <w:r>
                      <w:rPr>
                        <w:rFonts w:hint="eastAsia" w:asciiTheme="minorEastAsia" w:hAnsiTheme="minorEastAsia" w:eastAsiaTheme="minorEastAsia" w:cstheme="minorEastAsia"/>
                        <w:sz w:val="28"/>
                        <w:szCs w:val="2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val="0"/>
                            <w:snapToGrid w:val="0"/>
                            <w:spacing w:line="240" w:lineRule="auto"/>
                            <w:ind w:left="210" w:leftChars="100" w:right="0" w:rightChars="0" w:firstLine="0" w:firstLineChars="0"/>
                            <w:jc w:val="both"/>
                            <w:textAlignment w:val="auto"/>
                            <w:outlineLvl w:val="9"/>
                            <w:rPr>
                              <w:rFonts w:hint="eastAsia" w:asciiTheme="minorEastAsia" w:hAnsiTheme="minorEastAsia" w:eastAsiaTheme="minorEastAsia" w:cstheme="minorEastAsia"/>
                              <w:sz w:val="28"/>
                              <w:szCs w:val="28"/>
                              <w:lang w:eastAsia="zh-CN"/>
                            </w:rPr>
                          </w:pP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PAGE  \* MERGEFORMAT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sz w:val="28"/>
                              <w:szCs w:val="28"/>
                            </w:rPr>
                            <w:t>2</w:t>
                          </w:r>
                          <w:r>
                            <w:rPr>
                              <w:rFonts w:hint="eastAsia" w:asciiTheme="minorEastAsia" w:hAnsiTheme="minorEastAsia" w:eastAsiaTheme="minorEastAsia" w:cstheme="minorEastAsia"/>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uto"/>
                      <w:ind w:left="210" w:leftChars="100" w:right="0" w:rightChars="0" w:firstLine="0" w:firstLineChars="0"/>
                      <w:jc w:val="both"/>
                      <w:textAlignment w:val="auto"/>
                      <w:outlineLvl w:val="9"/>
                      <w:rPr>
                        <w:rFonts w:hint="eastAsia" w:asciiTheme="minorEastAsia" w:hAnsiTheme="minorEastAsia" w:eastAsiaTheme="minorEastAsia" w:cstheme="minorEastAsia"/>
                        <w:sz w:val="28"/>
                        <w:szCs w:val="28"/>
                        <w:lang w:eastAsia="zh-CN"/>
                      </w:rPr>
                    </w:pP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PAGE  \* MERGEFORMAT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sz w:val="28"/>
                        <w:szCs w:val="28"/>
                      </w:rPr>
                      <w:t>2</w:t>
                    </w:r>
                    <w:r>
                      <w:rPr>
                        <w:rFonts w:hint="eastAsia" w:asciiTheme="minorEastAsia" w:hAnsiTheme="minorEastAsia" w:eastAsiaTheme="minorEastAsia" w:cstheme="minorEastAsia"/>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embedSystemFonts/>
  <w:bordersDoNotSurroundHeader w:val="1"/>
  <w:bordersDoNotSurroundFooter w:val="1"/>
  <w:documentProtection w:enforcement="0"/>
  <w:defaultTabStop w:val="420"/>
  <w:evenAndOddHeaders w:val="1"/>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B8F73C7"/>
    <w:rsid w:val="71DD11BA"/>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Office_10.1.0.6159_F1E327BC-269C-435d-A152-05C5408002CA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dc:creator>
  <cp:lastModifiedBy>admin</cp:lastModifiedBy>
  <dcterms:modified xsi:type="dcterms:W3CDTF">2017-02-28T07:38:31Z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2052-10.1.0.6159</vt:lpwstr>
  </property>
</Properties>
</file>