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宋体" w:hAnsi="宋体" w:cs="Arial"/>
          <w:kern w:val="0"/>
          <w:szCs w:val="32"/>
        </w:rPr>
      </w:pPr>
      <w:bookmarkStart w:id="0" w:name="_GoBack"/>
      <w:bookmarkEnd w:id="0"/>
    </w:p>
    <w:p>
      <w:pPr>
        <w:spacing w:line="360" w:lineRule="auto"/>
        <w:rPr>
          <w:rFonts w:hint="eastAsia" w:ascii="宋体" w:hAnsi="宋体" w:cs="Arial"/>
          <w:kern w:val="0"/>
          <w:szCs w:val="32"/>
        </w:rPr>
      </w:pPr>
    </w:p>
    <w:p>
      <w:pPr>
        <w:spacing w:line="360" w:lineRule="auto"/>
        <w:jc w:val="center"/>
        <w:rPr>
          <w:rFonts w:hint="eastAsia" w:ascii="宋体" w:hAnsi="宋体" w:eastAsia="宋体" w:cs="Arial"/>
          <w:bCs/>
          <w:sz w:val="44"/>
          <w:szCs w:val="44"/>
        </w:rPr>
      </w:pPr>
      <w:r>
        <w:rPr>
          <w:rFonts w:hint="eastAsia" w:ascii="宋体" w:hAnsi="宋体" w:eastAsia="宋体" w:cs="Arial"/>
          <w:bCs/>
          <w:sz w:val="44"/>
          <w:szCs w:val="44"/>
        </w:rPr>
        <w:t>衡阳市南岳区综合管理条例</w:t>
      </w:r>
    </w:p>
    <w:p>
      <w:pPr>
        <w:spacing w:line="360" w:lineRule="auto"/>
        <w:ind w:firstLine="640" w:firstLineChars="200"/>
        <w:rPr>
          <w:rFonts w:hint="eastAsia" w:ascii="宋体" w:hAnsi="宋体" w:cs="Arial"/>
          <w:szCs w:val="32"/>
        </w:rPr>
      </w:pPr>
    </w:p>
    <w:p>
      <w:pPr>
        <w:spacing w:line="360" w:lineRule="auto"/>
        <w:ind w:left="800" w:leftChars="200" w:right="538" w:rightChars="168" w:hanging="160" w:hangingChars="50"/>
        <w:rPr>
          <w:rFonts w:hint="eastAsia" w:ascii="楷体_GB2312" w:hAnsi="Arial" w:eastAsia="楷体_GB2312" w:cs="Arial"/>
          <w:szCs w:val="32"/>
        </w:rPr>
      </w:pPr>
      <w:r>
        <w:rPr>
          <w:rFonts w:hint="eastAsia" w:ascii="楷体_GB2312" w:hAnsi="Arial" w:eastAsia="楷体_GB2312" w:cs="Arial"/>
          <w:szCs w:val="32"/>
        </w:rPr>
        <w:t>（2016年10月28日衡阳市第十四届人民代表大会常务委员会第三十一次会议通过  2016年12月2日湖南省第十二届人民代表大会常务委员会第二十六次会议批准）</w:t>
      </w:r>
    </w:p>
    <w:p>
      <w:pPr>
        <w:spacing w:line="360" w:lineRule="auto"/>
        <w:rPr>
          <w:rFonts w:hint="eastAsia" w:ascii="宋体" w:hAnsi="宋体" w:cs="Arial"/>
          <w:szCs w:val="32"/>
        </w:rPr>
      </w:pPr>
    </w:p>
    <w:p>
      <w:pPr>
        <w:spacing w:line="360" w:lineRule="auto"/>
        <w:jc w:val="center"/>
        <w:rPr>
          <w:rFonts w:hint="eastAsia" w:ascii="楷体_GB2312" w:hAnsi="Arial" w:eastAsia="楷体_GB2312" w:cs="Arial"/>
          <w:szCs w:val="32"/>
        </w:rPr>
      </w:pPr>
      <w:r>
        <w:rPr>
          <w:rFonts w:hint="eastAsia" w:ascii="楷体_GB2312" w:hAnsi="Arial" w:eastAsia="楷体_GB2312" w:cs="Arial"/>
          <w:szCs w:val="32"/>
        </w:rPr>
        <w:t>目  录</w:t>
      </w:r>
    </w:p>
    <w:p>
      <w:pPr>
        <w:spacing w:line="360" w:lineRule="auto"/>
        <w:ind w:left="989" w:leftChars="309"/>
        <w:rPr>
          <w:rFonts w:hint="eastAsia" w:ascii="楷体_GB2312" w:hAnsi="Arial" w:eastAsia="楷体_GB2312" w:cs="Arial"/>
          <w:szCs w:val="32"/>
        </w:rPr>
      </w:pPr>
    </w:p>
    <w:p>
      <w:pPr>
        <w:spacing w:line="360" w:lineRule="auto"/>
        <w:ind w:left="989" w:leftChars="309"/>
        <w:rPr>
          <w:rFonts w:hint="eastAsia" w:ascii="楷体_GB2312" w:hAnsi="Arial" w:eastAsia="楷体_GB2312" w:cs="Arial"/>
          <w:szCs w:val="32"/>
        </w:rPr>
      </w:pPr>
      <w:r>
        <w:rPr>
          <w:rFonts w:hint="eastAsia" w:ascii="楷体_GB2312" w:hAnsi="Arial" w:eastAsia="楷体_GB2312" w:cs="Arial"/>
          <w:szCs w:val="32"/>
        </w:rPr>
        <w:t xml:space="preserve">第一章 总则 </w:t>
      </w:r>
    </w:p>
    <w:p>
      <w:pPr>
        <w:spacing w:line="360" w:lineRule="auto"/>
        <w:ind w:left="989" w:leftChars="309"/>
        <w:rPr>
          <w:rFonts w:hint="eastAsia" w:ascii="楷体_GB2312" w:hAnsi="Arial" w:eastAsia="楷体_GB2312" w:cs="Arial"/>
          <w:szCs w:val="32"/>
        </w:rPr>
      </w:pPr>
      <w:r>
        <w:rPr>
          <w:rFonts w:hint="eastAsia" w:ascii="楷体_GB2312" w:hAnsi="Arial" w:eastAsia="楷体_GB2312" w:cs="Arial"/>
          <w:szCs w:val="32"/>
        </w:rPr>
        <w:t xml:space="preserve">第二章 规划建设 </w:t>
      </w:r>
    </w:p>
    <w:p>
      <w:pPr>
        <w:spacing w:line="360" w:lineRule="auto"/>
        <w:ind w:left="989" w:leftChars="309"/>
        <w:rPr>
          <w:rFonts w:hint="eastAsia" w:ascii="楷体_GB2312" w:hAnsi="Arial" w:eastAsia="楷体_GB2312" w:cs="Arial"/>
          <w:szCs w:val="32"/>
        </w:rPr>
      </w:pPr>
      <w:r>
        <w:rPr>
          <w:rFonts w:hint="eastAsia" w:ascii="楷体_GB2312" w:hAnsi="Arial" w:eastAsia="楷体_GB2312" w:cs="Arial"/>
          <w:szCs w:val="32"/>
        </w:rPr>
        <w:t xml:space="preserve">第三章 城乡管理 </w:t>
      </w:r>
    </w:p>
    <w:p>
      <w:pPr>
        <w:spacing w:line="360" w:lineRule="auto"/>
        <w:ind w:left="989" w:leftChars="309"/>
        <w:rPr>
          <w:rFonts w:hint="eastAsia" w:ascii="楷体_GB2312" w:hAnsi="Arial" w:eastAsia="楷体_GB2312" w:cs="Arial"/>
          <w:szCs w:val="32"/>
        </w:rPr>
      </w:pPr>
      <w:r>
        <w:rPr>
          <w:rFonts w:hint="eastAsia" w:ascii="楷体_GB2312" w:hAnsi="Arial" w:eastAsia="楷体_GB2312" w:cs="Arial"/>
          <w:szCs w:val="32"/>
        </w:rPr>
        <w:t xml:space="preserve">第四章 环境保护 </w:t>
      </w:r>
    </w:p>
    <w:p>
      <w:pPr>
        <w:spacing w:line="360" w:lineRule="auto"/>
        <w:ind w:left="989" w:leftChars="309"/>
        <w:rPr>
          <w:rFonts w:hint="eastAsia" w:ascii="楷体_GB2312" w:hAnsi="Arial" w:eastAsia="楷体_GB2312" w:cs="Arial"/>
          <w:szCs w:val="32"/>
        </w:rPr>
      </w:pPr>
      <w:r>
        <w:rPr>
          <w:rFonts w:hint="eastAsia" w:ascii="楷体_GB2312" w:hAnsi="Arial" w:eastAsia="楷体_GB2312" w:cs="Arial"/>
          <w:szCs w:val="32"/>
        </w:rPr>
        <w:t xml:space="preserve">第五章 法律责任 </w:t>
      </w:r>
    </w:p>
    <w:p>
      <w:pPr>
        <w:spacing w:line="360" w:lineRule="auto"/>
        <w:ind w:left="989" w:leftChars="309"/>
        <w:rPr>
          <w:rFonts w:hint="eastAsia" w:ascii="楷体_GB2312" w:hAnsi="Arial" w:eastAsia="楷体_GB2312" w:cs="Arial"/>
          <w:szCs w:val="32"/>
        </w:rPr>
      </w:pPr>
      <w:r>
        <w:rPr>
          <w:rFonts w:hint="eastAsia" w:ascii="楷体_GB2312" w:hAnsi="Arial" w:eastAsia="楷体_GB2312" w:cs="Arial"/>
          <w:szCs w:val="32"/>
        </w:rPr>
        <w:t>第六章 附则</w:t>
      </w:r>
    </w:p>
    <w:p>
      <w:pPr>
        <w:widowControl/>
        <w:spacing w:line="360" w:lineRule="auto"/>
        <w:rPr>
          <w:rFonts w:hint="eastAsia" w:ascii="宋体" w:hAnsi="宋体" w:eastAsia="宋体" w:cs="Arial"/>
          <w:bCs/>
          <w:kern w:val="0"/>
          <w:szCs w:val="32"/>
        </w:rPr>
      </w:pPr>
    </w:p>
    <w:p>
      <w:pPr>
        <w:widowControl/>
        <w:spacing w:line="360" w:lineRule="auto"/>
        <w:ind w:firstLine="640" w:firstLineChars="200"/>
        <w:jc w:val="center"/>
        <w:rPr>
          <w:rFonts w:hint="eastAsia" w:ascii="仿宋_GB2312" w:hAnsi="Arial" w:cs="Arial"/>
          <w:kern w:val="0"/>
          <w:szCs w:val="32"/>
        </w:rPr>
      </w:pPr>
      <w:r>
        <w:rPr>
          <w:rFonts w:hint="eastAsia" w:ascii="黑体" w:hAnsi="黑体" w:eastAsia="黑体" w:cs="黑体"/>
          <w:kern w:val="0"/>
          <w:sz w:val="32"/>
          <w:szCs w:val="32"/>
        </w:rPr>
        <w:t>第一章   总则</w:t>
      </w:r>
    </w:p>
    <w:p>
      <w:pPr>
        <w:widowControl/>
        <w:spacing w:line="360" w:lineRule="auto"/>
        <w:ind w:firstLine="640" w:firstLineChars="200"/>
        <w:jc w:val="left"/>
        <w:rPr>
          <w:rFonts w:hint="eastAsia" w:ascii="仿宋_GB2312" w:hAnsi="Arial" w:cs="Arial"/>
          <w:kern w:val="0"/>
          <w:szCs w:val="32"/>
        </w:rPr>
      </w:pP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第一条</w:t>
      </w:r>
      <w:r>
        <w:rPr>
          <w:rFonts w:hint="eastAsia" w:ascii="仿宋_GB2312" w:hAnsi="Arial" w:cs="Arial"/>
          <w:kern w:val="0"/>
          <w:szCs w:val="32"/>
        </w:rPr>
        <w:t xml:space="preserve">  为了加强和规范衡阳市南岳区（以下简称南岳区）综合管理工作，提高管理水平，根据相关法律、法规，结合南岳区实际，制定本条例。</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第二条</w:t>
      </w:r>
      <w:r>
        <w:rPr>
          <w:rFonts w:hint="eastAsia" w:ascii="仿宋_GB2312" w:hAnsi="Arial" w:cs="Arial"/>
          <w:kern w:val="0"/>
          <w:szCs w:val="32"/>
        </w:rPr>
        <w:t xml:space="preserve">  南岳区行政区域内的规划建设、城乡管理和环境保护等适用本条例。</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第三条</w:t>
      </w:r>
      <w:r>
        <w:rPr>
          <w:rFonts w:hint="eastAsia" w:ascii="仿宋_GB2312" w:hAnsi="Arial" w:cs="Arial"/>
          <w:kern w:val="0"/>
          <w:szCs w:val="32"/>
        </w:rPr>
        <w:t xml:space="preserve">  南岳区综合管理应当坚持以人为本、优化管理、统筹协调、公众参与的原则。</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第四条</w:t>
      </w:r>
      <w:r>
        <w:rPr>
          <w:rFonts w:hint="eastAsia" w:ascii="仿宋_GB2312" w:hAnsi="Arial" w:cs="Arial"/>
          <w:kern w:val="0"/>
          <w:szCs w:val="32"/>
        </w:rPr>
        <w:t xml:space="preserve">  衡阳市人民政府应当统筹规划、科学指导南岳区建立、健全综合管理体制，加强对南岳区综合管理工作的领导和监督。</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南岳区人民政府应当建立和完善综合管理协调机制，督促相关部门依法履行职责，强化具体保障措施，做好综合管理工作。</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市、区两级人民政府相关部门应当在各自的职责范围内，共同做好南岳区综合管理工作。</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第五条</w:t>
      </w:r>
      <w:r>
        <w:rPr>
          <w:rFonts w:hint="eastAsia" w:ascii="仿宋_GB2312" w:hAnsi="Arial" w:cs="Arial"/>
          <w:kern w:val="0"/>
          <w:szCs w:val="32"/>
        </w:rPr>
        <w:t xml:space="preserve">  南岳区行政管理综合执法部门根据授权，负责行使城乡规划与建设、土地、市容环卫、市政、公安交通与治安、工商、风景名胜、交通运输管理等行政处罚权。</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衡阳市人民政府应当根据综合管理实际需要，完善综合执法体制，依照法定程序对南岳区相关部门的行政管理职能进行适当调整。</w:t>
      </w:r>
    </w:p>
    <w:p>
      <w:pPr>
        <w:widowControl/>
        <w:spacing w:line="360" w:lineRule="auto"/>
        <w:ind w:firstLine="640" w:firstLineChars="200"/>
        <w:jc w:val="left"/>
        <w:rPr>
          <w:rFonts w:hint="eastAsia" w:ascii="仿宋_GB2312" w:hAnsi="Arial" w:cs="Arial"/>
          <w:kern w:val="0"/>
          <w:szCs w:val="32"/>
        </w:rPr>
      </w:pPr>
    </w:p>
    <w:p>
      <w:pPr>
        <w:widowControl/>
        <w:spacing w:line="360" w:lineRule="auto"/>
        <w:ind w:firstLine="640" w:firstLineChars="200"/>
        <w:jc w:val="center"/>
        <w:rPr>
          <w:rFonts w:hint="eastAsia" w:ascii="仿宋_GB2312" w:hAnsi="Arial" w:cs="Arial"/>
          <w:kern w:val="0"/>
          <w:szCs w:val="32"/>
        </w:rPr>
      </w:pPr>
      <w:r>
        <w:rPr>
          <w:rFonts w:hint="eastAsia" w:ascii="黑体" w:hAnsi="黑体" w:eastAsia="黑体" w:cs="黑体"/>
          <w:kern w:val="0"/>
          <w:sz w:val="32"/>
          <w:szCs w:val="32"/>
        </w:rPr>
        <w:t>第二章   规划建设</w:t>
      </w:r>
    </w:p>
    <w:p>
      <w:pPr>
        <w:widowControl/>
        <w:spacing w:line="360" w:lineRule="auto"/>
        <w:ind w:firstLine="640" w:firstLineChars="200"/>
        <w:jc w:val="left"/>
        <w:rPr>
          <w:rFonts w:hint="eastAsia" w:ascii="仿宋_GB2312" w:hAnsi="Arial" w:cs="Arial"/>
          <w:kern w:val="0"/>
          <w:szCs w:val="32"/>
        </w:rPr>
      </w:pP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第六条</w:t>
      </w:r>
      <w:r>
        <w:rPr>
          <w:rFonts w:hint="eastAsia" w:ascii="仿宋_GB2312" w:hAnsi="Arial" w:cs="Arial"/>
          <w:kern w:val="0"/>
          <w:szCs w:val="32"/>
        </w:rPr>
        <w:t xml:space="preserve">  南岳区人民政府应当对南岳衡山风景名胜区（以下简称风景名胜区）总体规划确定的禁止建设范围和控制建设范围设立界碑并向社会公示，任何单位和个人不得擅自变更。</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南岳区及有关乡镇人民政府编制相关规划时，应当结合风景名胜区的保护要求，注重资源整合和城乡统筹发展，防止破坏历史文化资源和自然资源。</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第七条</w:t>
      </w:r>
      <w:r>
        <w:rPr>
          <w:rFonts w:hint="eastAsia" w:ascii="仿宋_GB2312" w:hAnsi="Arial" w:cs="Arial"/>
          <w:kern w:val="0"/>
          <w:szCs w:val="32"/>
        </w:rPr>
        <w:t xml:space="preserve">  禁止建设范围内不得新建或者改（扩）建与风景名胜资源保护、环境保护和基础设施无关的建（构）筑物。</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禁止建设范围和控制建设范围内，与风景名胜资源保护、环境保护无关或者与周围景观不协调、不符合风景名胜区规划的原有合法建（构）筑物，应当逐步迁出或者拆除，并由南岳区人民政府依法给予补偿；违法建（构）筑物应当依法拆除。</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第八条</w:t>
      </w:r>
      <w:r>
        <w:rPr>
          <w:rFonts w:hint="eastAsia" w:ascii="仿宋_GB2312" w:hAnsi="Arial" w:cs="Arial"/>
          <w:kern w:val="0"/>
          <w:szCs w:val="32"/>
        </w:rPr>
        <w:t xml:space="preserve">  控制建设范围内的建设项目应当符合规划要求，并报相关行政主管部门批准。</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村民在控制建设范围内建设住宅，每户使用土地面积（含附属设施）不得超过一百三十平方米，层数不得超过二层，檐口高度不得超过八米。</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以南岳大庙为中心，东至祝圣寺山体及祝圣路、南至衡山路、西至祝融路、北至金沙路合围区域内，新建、扩建建筑物的层数不得超过三层，檐口高度不得超过十米。</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第九条</w:t>
      </w:r>
      <w:r>
        <w:rPr>
          <w:rFonts w:hint="eastAsia" w:ascii="仿宋_GB2312" w:hAnsi="Arial" w:cs="Arial"/>
          <w:kern w:val="0"/>
          <w:szCs w:val="32"/>
        </w:rPr>
        <w:t xml:space="preserve">  南岳区内的建（构）筑物、公共设施的建设和修缮，应当保持历史文化风貌，与景观环境相协调，体现地方特色。</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南岳区人民政府城乡规划主管部门应当根据南岳区城市总体规划编制风貌控制专项规划，报南岳区人民政府批准后实施。</w:t>
      </w:r>
    </w:p>
    <w:p>
      <w:pPr>
        <w:widowControl/>
        <w:spacing w:line="360" w:lineRule="auto"/>
        <w:ind w:firstLine="640" w:firstLineChars="200"/>
        <w:jc w:val="left"/>
        <w:rPr>
          <w:rFonts w:hint="eastAsia" w:ascii="仿宋_GB2312" w:hAnsi="Arial" w:cs="Arial"/>
          <w:kern w:val="0"/>
          <w:szCs w:val="32"/>
        </w:rPr>
      </w:pPr>
    </w:p>
    <w:p>
      <w:pPr>
        <w:widowControl/>
        <w:spacing w:line="360" w:lineRule="auto"/>
        <w:ind w:firstLine="640" w:firstLineChars="200"/>
        <w:jc w:val="center"/>
        <w:rPr>
          <w:rFonts w:hint="eastAsia" w:ascii="仿宋_GB2312" w:hAnsi="Arial" w:cs="Arial"/>
          <w:kern w:val="0"/>
          <w:szCs w:val="32"/>
        </w:rPr>
      </w:pPr>
      <w:r>
        <w:rPr>
          <w:rFonts w:hint="eastAsia" w:ascii="黑体" w:hAnsi="黑体" w:eastAsia="黑体" w:cs="黑体"/>
          <w:kern w:val="0"/>
          <w:sz w:val="32"/>
          <w:szCs w:val="32"/>
        </w:rPr>
        <w:t>第三章  城乡管理</w:t>
      </w:r>
    </w:p>
    <w:p>
      <w:pPr>
        <w:widowControl/>
        <w:spacing w:line="360" w:lineRule="auto"/>
        <w:ind w:firstLine="640" w:firstLineChars="200"/>
        <w:jc w:val="left"/>
        <w:rPr>
          <w:rFonts w:hint="eastAsia" w:ascii="仿宋_GB2312" w:hAnsi="Arial" w:cs="Arial"/>
          <w:kern w:val="0"/>
          <w:szCs w:val="32"/>
        </w:rPr>
      </w:pP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第十条</w:t>
      </w:r>
      <w:r>
        <w:rPr>
          <w:rFonts w:hint="eastAsia" w:ascii="仿宋_GB2312" w:hAnsi="Arial" w:cs="Arial"/>
          <w:kern w:val="0"/>
          <w:szCs w:val="32"/>
        </w:rPr>
        <w:t xml:space="preserve">  南岳区人民政府应当加强道路交通秩序管理，保障辖区内道路交通安全、畅通。</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禁止摩托车、电动车和其他非营运车辆从事客运经营活动。</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第十一条</w:t>
      </w:r>
      <w:r>
        <w:rPr>
          <w:rFonts w:hint="eastAsia" w:ascii="仿宋_GB2312" w:hAnsi="Arial" w:cs="Arial"/>
          <w:kern w:val="0"/>
          <w:szCs w:val="32"/>
        </w:rPr>
        <w:t xml:space="preserve">  进入风景名胜区核心景区执行公务和施工任务的车辆应当持有南岳区公安交通管理部门核发的景区车辆通行证。禁止伪造、变造、转让、转借景区车辆通行证。</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进入古镇景区东街、西街、南街、御街、北支街的车辆应当遵守南岳区人民政府设立的通行时段规定，拖拉机和核定载重超过五吨的车辆不得驶入上述区域。</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法律、法规对公安、消防等部门的抢险、救援车辆通行有其他规定的，从其规定。</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第十二条</w:t>
      </w:r>
      <w:r>
        <w:rPr>
          <w:rFonts w:hint="eastAsia" w:ascii="仿宋_GB2312" w:hAnsi="Arial" w:cs="Arial"/>
          <w:kern w:val="0"/>
          <w:szCs w:val="32"/>
        </w:rPr>
        <w:t xml:space="preserve">  宗教活动场所应当建立消防安全和文物保护等管理制度，划定重点保护区域，明确责任人，设置保护标志。</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在宗教活动场所内点灯、烧纸、焚香等必须在指定的地点进行，并由专人管理。</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第十三条</w:t>
      </w:r>
      <w:r>
        <w:rPr>
          <w:rFonts w:hint="eastAsia" w:ascii="仿宋_GB2312" w:hAnsi="Arial" w:cs="Arial"/>
          <w:kern w:val="0"/>
          <w:szCs w:val="32"/>
        </w:rPr>
        <w:t xml:space="preserve">  风景名胜区内的餐饮、住宿、商品销售、摄影摄像等经营服务网点的设置，应当符合有关规划。</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经营活动应当按照核准登记的经营范围和地点进行。</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第十四条</w:t>
      </w:r>
      <w:r>
        <w:rPr>
          <w:rFonts w:hint="eastAsia" w:ascii="仿宋_GB2312" w:hAnsi="Arial" w:cs="Arial"/>
          <w:kern w:val="0"/>
          <w:szCs w:val="32"/>
        </w:rPr>
        <w:t xml:space="preserve">  禁止下列破坏旅游秩序、损害游客合法权益的行为:</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（一）偷逃门票和组织、协助偷逃门票；</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（二）冒充景区工作人员、导游人员、宗教教职人员，欺骗游客消费；</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（三）追逐、围堵、拦截游客驾驶的车辆，推销商品或者介绍消费服务；</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（四）欺骗、诱导、胁迫游客施行求签、祈福、开运、参拜等活动；</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（五）纠缠游客递塞佩饰、挂饰、符牌、雕塑、佛珠、绶带、符箓等物品。</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第十五条</w:t>
      </w:r>
      <w:r>
        <w:rPr>
          <w:rFonts w:hint="eastAsia" w:ascii="仿宋_GB2312" w:hAnsi="Arial" w:cs="Arial"/>
          <w:kern w:val="0"/>
          <w:szCs w:val="32"/>
        </w:rPr>
        <w:t xml:space="preserve">  任何单位和个人不得阻挠、妨碍他人正常使用公共泊车位、休憩设施等公共资源，不得在道路或者其他公共场所私划泊车位，并收取费用。</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第十六条</w:t>
      </w:r>
      <w:r>
        <w:rPr>
          <w:rFonts w:hint="eastAsia" w:ascii="仿宋_GB2312" w:hAnsi="Arial" w:cs="Arial"/>
          <w:kern w:val="0"/>
          <w:szCs w:val="32"/>
        </w:rPr>
        <w:t xml:space="preserve">  禁止在风景名胜区、集中供水饮用水水源保护区建坟、修墓、立碑。</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南岳区人民政府应当在风景名胜区和集中供水饮用水水源保护区范围之外划定公墓区，并对殡葬活动予以规范。</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第十七条</w:t>
      </w:r>
      <w:r>
        <w:rPr>
          <w:rFonts w:hint="eastAsia" w:ascii="仿宋_GB2312" w:hAnsi="Arial" w:cs="Arial"/>
          <w:kern w:val="0"/>
          <w:szCs w:val="32"/>
        </w:rPr>
        <w:t xml:space="preserve">  风景名胜区和城区禁止饲养大型犬、烈性犬（导盲犬和警犬除外）。大型犬、烈性犬的具体名称、种类由南岳区人民政府另行规定。</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饲养犬只以及其它宠物不得影响他人正常生活和公共环境卫生，景点、宗教活动场所、车站、公交车、学校、医院、商场、影剧院等公共场所禁止携带犬只进入。</w:t>
      </w:r>
    </w:p>
    <w:p>
      <w:pPr>
        <w:widowControl/>
        <w:spacing w:line="360" w:lineRule="auto"/>
        <w:ind w:firstLine="640" w:firstLineChars="200"/>
        <w:jc w:val="left"/>
        <w:rPr>
          <w:rFonts w:hint="eastAsia" w:ascii="仿宋_GB2312" w:hAnsi="Arial" w:cs="Arial"/>
          <w:kern w:val="0"/>
          <w:szCs w:val="32"/>
        </w:rPr>
      </w:pPr>
    </w:p>
    <w:p>
      <w:pPr>
        <w:widowControl/>
        <w:spacing w:line="360" w:lineRule="auto"/>
        <w:ind w:firstLine="640" w:firstLineChars="200"/>
        <w:jc w:val="center"/>
        <w:rPr>
          <w:rFonts w:hint="eastAsia" w:ascii="仿宋_GB2312" w:hAnsi="Arial" w:cs="Arial"/>
          <w:kern w:val="0"/>
          <w:szCs w:val="32"/>
        </w:rPr>
      </w:pPr>
      <w:r>
        <w:rPr>
          <w:rFonts w:hint="eastAsia" w:ascii="黑体" w:hAnsi="黑体" w:eastAsia="黑体" w:cs="黑体"/>
          <w:kern w:val="0"/>
          <w:sz w:val="32"/>
          <w:szCs w:val="32"/>
        </w:rPr>
        <w:t>第四章  环境保护</w:t>
      </w:r>
    </w:p>
    <w:p>
      <w:pPr>
        <w:widowControl/>
        <w:spacing w:line="360" w:lineRule="auto"/>
        <w:ind w:firstLine="640" w:firstLineChars="200"/>
        <w:jc w:val="left"/>
        <w:rPr>
          <w:rFonts w:hint="eastAsia" w:ascii="仿宋_GB2312" w:hAnsi="Arial" w:cs="Arial"/>
          <w:kern w:val="0"/>
          <w:szCs w:val="32"/>
        </w:rPr>
      </w:pP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第十八条</w:t>
      </w:r>
      <w:r>
        <w:rPr>
          <w:rFonts w:hint="eastAsia" w:ascii="仿宋_GB2312" w:hAnsi="Arial" w:cs="Arial"/>
          <w:kern w:val="0"/>
          <w:szCs w:val="32"/>
        </w:rPr>
        <w:t xml:space="preserve">  南岳区人民政府应当对兴隆水库、大禾田水库等集中供水饮用水水源、溪流严格保护，按照划定的一级保护区、二级保护区设立界碑和警示标志，并向社会公布。</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南岳区人民政府水行政主管部门应当定期对保护区内的集中供水饮用水水源、溪流进行清理。</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第十九条</w:t>
      </w:r>
      <w:r>
        <w:rPr>
          <w:rFonts w:hint="eastAsia" w:ascii="仿宋_GB2312" w:hAnsi="Arial" w:cs="Arial"/>
          <w:kern w:val="0"/>
          <w:szCs w:val="32"/>
        </w:rPr>
        <w:t xml:space="preserve">  集中供水饮用水水源保护区内应当遵守下列规定：</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（一）禁止在一级保护区内修建住宅、食宿场馆、养殖场所等与供水设施和保护水源无关的建（构）筑物。原有的住宅、食宿场馆、养殖场所等建（构）筑物应当拆除或者关闭；</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（二）禁止在保护区内向水体排放污水、废液或者倾倒垃圾、渣土等废弃物；</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（三）禁止在保护区内炸鱼、毒鱼、电鱼、钓鱼、网鱼、网箱养殖、游泳；</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（四）禁止在保护区内从事其他可能污染饮用水水体的行为。</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第二十条</w:t>
      </w:r>
      <w:r>
        <w:rPr>
          <w:rFonts w:hint="eastAsia" w:ascii="仿宋_GB2312" w:hAnsi="Arial" w:cs="Arial"/>
          <w:kern w:val="0"/>
          <w:szCs w:val="32"/>
        </w:rPr>
        <w:t xml:space="preserve">  风景名胜区实行全年森林防火。除因防治病虫鼠害和冻害、进行实弹演习和爆破活动、处置突发事件和执行其他紧急任务等特殊情况，并经法定程序批准外，禁止在森林防火区野外用火。</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南岳区人民政府可以根据风景名胜区景观单元保护等级合理设置吸烟处，吸烟应当在指定的地点进行。</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第二十一条</w:t>
      </w:r>
      <w:r>
        <w:rPr>
          <w:rFonts w:hint="eastAsia" w:ascii="仿宋_GB2312" w:hAnsi="Arial" w:cs="Arial"/>
          <w:kern w:val="0"/>
          <w:szCs w:val="32"/>
        </w:rPr>
        <w:t xml:space="preserve">  在城区主干道两侧和居民小区内不得从事喷漆、切割、电焊、粉尘原料制品加工等产生有毒有害气体及噪音的经营活动。 </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餐饮、住宿经营者应当依照有关环境保护法律、法规的规定，对废水、废气和固体废弃物进行处置。</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商品经营者销售的燃香类产品应当明码标价并符合国家标准和湖南省地方标准。</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第二十二条</w:t>
      </w:r>
      <w:r>
        <w:rPr>
          <w:rFonts w:hint="eastAsia" w:ascii="仿宋_GB2312" w:hAnsi="Arial" w:cs="Arial"/>
          <w:kern w:val="0"/>
          <w:szCs w:val="32"/>
        </w:rPr>
        <w:t xml:space="preserve">  经批准设立的机动车清洗和维修场所应当配置污水、废液沉淀处理设施，不得直接将污水、废液向市政污水管网和路面排放。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第二十三条</w:t>
      </w:r>
      <w:r>
        <w:rPr>
          <w:rFonts w:hint="eastAsia" w:ascii="仿宋_GB2312" w:hAnsi="Arial" w:cs="Arial"/>
          <w:kern w:val="0"/>
          <w:szCs w:val="32"/>
        </w:rPr>
        <w:t xml:space="preserve">  任何单位和个人不得擅自在景观单元、宗教活动场所、城市绿化带等公共区域攀折、刻划、损毁树木或者损坏绿地、采摘花朵和果实。</w:t>
      </w:r>
    </w:p>
    <w:p>
      <w:pPr>
        <w:widowControl/>
        <w:spacing w:line="360" w:lineRule="auto"/>
        <w:ind w:firstLine="640" w:firstLineChars="200"/>
        <w:jc w:val="left"/>
        <w:rPr>
          <w:rFonts w:hint="eastAsia" w:ascii="仿宋_GB2312" w:hAnsi="Arial" w:cs="Arial"/>
          <w:kern w:val="0"/>
          <w:szCs w:val="32"/>
        </w:rPr>
      </w:pPr>
    </w:p>
    <w:p>
      <w:pPr>
        <w:widowControl/>
        <w:spacing w:line="360" w:lineRule="auto"/>
        <w:ind w:firstLine="640" w:firstLineChars="200"/>
        <w:jc w:val="center"/>
        <w:rPr>
          <w:rFonts w:hint="eastAsia" w:ascii="仿宋_GB2312" w:hAnsi="Arial" w:cs="Arial"/>
          <w:kern w:val="0"/>
          <w:szCs w:val="32"/>
        </w:rPr>
      </w:pPr>
      <w:r>
        <w:rPr>
          <w:rFonts w:hint="eastAsia" w:ascii="黑体" w:hAnsi="黑体" w:eastAsia="黑体" w:cs="黑体"/>
          <w:kern w:val="0"/>
          <w:sz w:val="32"/>
          <w:szCs w:val="32"/>
        </w:rPr>
        <w:t>第五章   法律责任</w:t>
      </w:r>
    </w:p>
    <w:p>
      <w:pPr>
        <w:widowControl/>
        <w:spacing w:line="360" w:lineRule="auto"/>
        <w:ind w:firstLine="640" w:firstLineChars="200"/>
        <w:jc w:val="left"/>
        <w:rPr>
          <w:rFonts w:hint="eastAsia" w:ascii="仿宋_GB2312" w:hAnsi="Arial" w:cs="Arial"/>
          <w:kern w:val="0"/>
          <w:szCs w:val="32"/>
        </w:rPr>
      </w:pP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第二十四条</w:t>
      </w:r>
      <w:r>
        <w:rPr>
          <w:rFonts w:hint="eastAsia" w:ascii="仿宋_GB2312" w:hAnsi="Arial" w:cs="Arial"/>
          <w:kern w:val="0"/>
          <w:szCs w:val="32"/>
        </w:rPr>
        <w:t xml:space="preserve">  违反本条例第七条第一款、第八条规定的，由南岳区行政管理综合执法部门依照《中华人民共和国城乡规划法》、《湖南省南岳衡山风景名胜区保护条例》等法律、法规的有关规定处罚。</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第二十五条</w:t>
      </w:r>
      <w:r>
        <w:rPr>
          <w:rFonts w:hint="eastAsia" w:ascii="仿宋_GB2312" w:hAnsi="Arial" w:cs="Arial"/>
          <w:kern w:val="0"/>
          <w:szCs w:val="32"/>
        </w:rPr>
        <w:t xml:space="preserve">  违反本条例第十一条第一款规定，伪造、变造景区车辆通行证的，由公安机关依照《中华人民共和国治安管理处罚法》的有关规定处罚；转让、转借景区车辆通行证的，由公安机关收回景区车辆通行证，六个月内不予核发新证。</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第二十六条</w:t>
      </w:r>
      <w:r>
        <w:rPr>
          <w:rFonts w:hint="eastAsia" w:ascii="仿宋_GB2312" w:hAnsi="Arial" w:cs="Arial"/>
          <w:kern w:val="0"/>
          <w:szCs w:val="32"/>
        </w:rPr>
        <w:t xml:space="preserve">  实施本条例第十四条所列行为，尚不构成治安管理处罚的，由南岳区行政管理综合执法部门予以制止，责令改正，没收违法所得，可以处五十元以上二百元以下罚款；违反《中华人民共和国治安管理处罚法》的，由公安机关予以处罚。</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第二十七条</w:t>
      </w:r>
      <w:r>
        <w:rPr>
          <w:rFonts w:hint="eastAsia" w:ascii="仿宋_GB2312" w:hAnsi="Arial" w:cs="Arial"/>
          <w:kern w:val="0"/>
          <w:szCs w:val="32"/>
        </w:rPr>
        <w:t xml:space="preserve">  违反本条例第十五条规定，阻挠、妨碍他人正常使用公共泊车位、在道路或者其他公共场所私划泊车位的，由南岳区行政管理综合执法部门责令停止违法行为，有违法所得的，没收违法所得，并处每车位五百元以上一千元以下罚款。</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第二十八条</w:t>
      </w:r>
      <w:r>
        <w:rPr>
          <w:rFonts w:hint="eastAsia" w:ascii="仿宋_GB2312" w:hAnsi="Arial" w:cs="Arial"/>
          <w:kern w:val="0"/>
          <w:szCs w:val="32"/>
        </w:rPr>
        <w:t xml:space="preserve">  违反本条例第十六条第一款规定，在禁止葬坟的区域建坟、修墓、立碑的，由南岳区行政管理综合执法部门依照《殡葬管理条例》、《风景名胜区条例》的有关规定处罚。</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第二十九条</w:t>
      </w:r>
      <w:r>
        <w:rPr>
          <w:rFonts w:hint="eastAsia" w:ascii="仿宋_GB2312" w:hAnsi="Arial" w:cs="Arial"/>
          <w:kern w:val="0"/>
          <w:szCs w:val="32"/>
        </w:rPr>
        <w:t xml:space="preserve">  违反本条例第二十条第一款规定，未经批准野外用火，情节较轻的，由南岳区人民政府责令停止违法行为，给予警告，对个人并处二百元以上一千元以下罚款，对单位并处一万元以上三万元以下罚款；情节严重的，对个人并处一千元以上三千元以下罚款，对单位并处三万元以上五万元以下罚款。</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违反第二款规定，在非指定地点吸烟，未破坏景观植被、地形地貌的，由南岳区人民政府责令改正，可以处五十元罚款；拒不改正的，处二百元罚款。</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第三十条</w:t>
      </w:r>
      <w:r>
        <w:rPr>
          <w:rFonts w:hint="eastAsia" w:ascii="仿宋_GB2312" w:hAnsi="Arial" w:cs="Arial"/>
          <w:kern w:val="0"/>
          <w:szCs w:val="32"/>
        </w:rPr>
        <w:t xml:space="preserve">  违反本条例第二十二条规定，未配置污水、废液沉淀处理设施或者直接排放污水、废液的，由南岳区行政管理综合执法部门责令改正，可以处二百元以上一千元以下罚款。</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第三十一条</w:t>
      </w:r>
      <w:r>
        <w:rPr>
          <w:rFonts w:hint="eastAsia" w:ascii="仿宋_GB2312" w:hAnsi="Arial" w:cs="Arial"/>
          <w:kern w:val="0"/>
          <w:szCs w:val="32"/>
        </w:rPr>
        <w:t xml:space="preserve">  违反本条例第二十三条规定，由南岳区人民政府责令停止违法行为，赔偿损失，可以处五十元以上二百元以下罚款。</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第三十二条</w:t>
      </w:r>
      <w:r>
        <w:rPr>
          <w:rFonts w:hint="eastAsia" w:ascii="仿宋_GB2312" w:hAnsi="Arial" w:cs="Arial"/>
          <w:kern w:val="0"/>
          <w:szCs w:val="32"/>
        </w:rPr>
        <w:t xml:space="preserve">  违反本条例规定进行审批的，其批准文件无效，由上一级人民政府或者其相关行政主管部门责令限期改正；造成行政相对人损失的，依法予以赔偿。</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国家工作人员在南岳区综合管理工作中玩忽职守、滥用职权、徇私舞弊的，依法给予行政处分；构成犯罪的，依法追究刑事责任。</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第三十三条</w:t>
      </w:r>
      <w:r>
        <w:rPr>
          <w:rFonts w:hint="eastAsia" w:ascii="仿宋_GB2312" w:hAnsi="Arial" w:cs="Arial"/>
          <w:kern w:val="0"/>
          <w:szCs w:val="32"/>
        </w:rPr>
        <w:t xml:space="preserve">  违反本条例规定，法律、法规已有处罚规定的，依照相关法律、法规处罚。</w:t>
      </w:r>
    </w:p>
    <w:p>
      <w:pPr>
        <w:widowControl/>
        <w:spacing w:line="360" w:lineRule="auto"/>
        <w:ind w:firstLine="640" w:firstLineChars="200"/>
        <w:jc w:val="left"/>
        <w:rPr>
          <w:rFonts w:hint="eastAsia" w:ascii="仿宋_GB2312" w:hAnsi="Arial" w:cs="Arial"/>
          <w:kern w:val="0"/>
          <w:szCs w:val="32"/>
        </w:rPr>
      </w:pPr>
    </w:p>
    <w:p>
      <w:pPr>
        <w:widowControl/>
        <w:spacing w:line="360" w:lineRule="auto"/>
        <w:ind w:firstLine="640" w:firstLineChars="200"/>
        <w:jc w:val="center"/>
        <w:rPr>
          <w:rFonts w:hint="eastAsia" w:ascii="仿宋_GB2312" w:hAnsi="Arial" w:cs="Arial"/>
          <w:kern w:val="0"/>
          <w:szCs w:val="32"/>
        </w:rPr>
      </w:pPr>
      <w:r>
        <w:rPr>
          <w:rFonts w:hint="eastAsia" w:ascii="黑体" w:hAnsi="黑体" w:eastAsia="黑体" w:cs="黑体"/>
          <w:kern w:val="0"/>
          <w:sz w:val="32"/>
          <w:szCs w:val="32"/>
        </w:rPr>
        <w:t>第六章   附则</w:t>
      </w:r>
    </w:p>
    <w:p>
      <w:pPr>
        <w:widowControl/>
        <w:spacing w:line="360" w:lineRule="auto"/>
        <w:ind w:firstLine="640" w:firstLineChars="200"/>
        <w:jc w:val="left"/>
        <w:rPr>
          <w:rFonts w:hint="eastAsia" w:ascii="仿宋_GB2312" w:hAnsi="Arial" w:cs="Arial"/>
          <w:kern w:val="0"/>
          <w:szCs w:val="32"/>
        </w:rPr>
      </w:pP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第三十四条</w:t>
      </w:r>
      <w:r>
        <w:rPr>
          <w:rFonts w:hint="eastAsia" w:ascii="仿宋_GB2312" w:hAnsi="Arial" w:cs="Arial"/>
          <w:kern w:val="0"/>
          <w:szCs w:val="32"/>
        </w:rPr>
        <w:t xml:space="preserve">  本条例经湖南省人民代表大会常务委员会批准后，由衡阳市人民代表大会常务委员会公布，自2017年3月1日起施行。</w:t>
      </w:r>
    </w:p>
    <w:sectPr>
      <w:headerReference r:id="rId3" w:type="first"/>
      <w:footerReference r:id="rId4" w:type="default"/>
      <w:footerReference r:id="rId5" w:type="even"/>
      <w:pgSz w:w="11906" w:h="16838"/>
      <w:pgMar w:top="1243" w:right="1474" w:bottom="1985" w:left="1531" w:header="851" w:footer="1417" w:gutter="0"/>
      <w:pgNumType w:fmt="numberInDash" w:start="1"/>
      <w:cols w:space="72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Cambria">
    <w:altName w:val="Palatino Linotype"/>
    <w:panose1 w:val="02040503050406030204"/>
    <w:charset w:val="00"/>
    <w:family w:val="auto"/>
    <w:pitch w:val="default"/>
    <w:sig w:usb0="00000000" w:usb1="00000000" w:usb2="02000000" w:usb3="00000000" w:csb0="0000019F" w:csb1="00000000"/>
  </w:font>
  <w:font w:name="ˎ̥">
    <w:altName w:val="Times New Roman"/>
    <w:panose1 w:val="00000000000000000000"/>
    <w:charset w:val="00"/>
    <w:family w:val="auto"/>
    <w:pitch w:val="default"/>
    <w:sig w:usb0="00000000" w:usb1="00000000" w:usb2="00000000" w:usb3="00000000" w:csb0="00040001" w:csb1="00000000"/>
  </w:font>
  <w:font w:name="Courier New">
    <w:panose1 w:val="02070309020205020404"/>
    <w:charset w:val="00"/>
    <w:family w:val="auto"/>
    <w:pitch w:val="default"/>
    <w:sig w:usb0="00007A87" w:usb1="80000000" w:usb2="00000008" w:usb3="00000000" w:csb0="400001FF" w:csb1="FFFF0000"/>
  </w:font>
  <w:font w:name="Arial">
    <w:panose1 w:val="020B0604020202020204"/>
    <w:charset w:val="00"/>
    <w:family w:val="auto"/>
    <w:pitch w:val="default"/>
    <w:sig w:usb0="00007A87" w:usb1="80000000" w:usb2="00000008" w:usb3="00000000" w:csb0="400001FF" w:csb1="FFFF0000"/>
  </w:font>
  <w:font w:name="楷体_GB2312">
    <w:panose1 w:val="02010609030101010101"/>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方正宋体S-超大字符集">
    <w:panose1 w:val="02000000000000000000"/>
    <w:charset w:val="86"/>
    <w:family w:val="auto"/>
    <w:pitch w:val="default"/>
    <w:sig w:usb0="00000001" w:usb1="0800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wordWrap w:val="0"/>
      <w:jc w:val="right"/>
      <w:rPr>
        <w:rFonts w:hint="eastAsia" w:ascii="仿宋_GB2312"/>
        <w:sz w:val="24"/>
      </w:rPr>
    </w:pPr>
    <w:r>
      <mc:AlternateContent>
        <mc:Choice Requires="wps">
          <w:drawing>
            <wp:anchor distT="0" distB="0" distL="114300" distR="114300" simplePos="0" relativeHeight="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txbx>
                      <w:txbxContent>
                        <w:p>
                          <w:pPr>
                            <w:pStyle w:val="15"/>
                          </w:pPr>
                          <w:r>
                            <w:rPr>
                              <w:rFonts w:hint="eastAsia" w:ascii="宋体" w:hAnsi="宋体" w:eastAsia="宋体" w:cs="宋体"/>
                              <w:sz w:val="28"/>
                              <w:szCs w:val="44"/>
                            </w:rPr>
                            <w:fldChar w:fldCharType="begin"/>
                          </w:r>
                          <w:r>
                            <w:rPr>
                              <w:rFonts w:hint="eastAsia" w:ascii="宋体" w:hAnsi="宋体" w:eastAsia="宋体" w:cs="宋体"/>
                              <w:sz w:val="28"/>
                              <w:szCs w:val="44"/>
                            </w:rPr>
                            <w:instrText xml:space="preserve"> PAGE  \* MERGEFORMAT </w:instrText>
                          </w:r>
                          <w:r>
                            <w:rPr>
                              <w:rFonts w:hint="eastAsia" w:ascii="宋体" w:hAnsi="宋体" w:cs="宋体"/>
                              <w:sz w:val="28"/>
                              <w:szCs w:val="44"/>
                            </w:rPr>
                            <w:fldChar w:fldCharType="separate"/>
                          </w:r>
                          <w:r>
                            <w:rPr>
                              <w:rFonts w:hint="eastAsia" w:ascii="宋体" w:hAnsi="宋体" w:eastAsia="宋体" w:cs="宋体"/>
                              <w:sz w:val="28"/>
                              <w:szCs w:val="44"/>
                            </w:rPr>
                            <w:t>- 1 -</w:t>
                          </w:r>
                          <w:r>
                            <w:rPr>
                              <w:rFonts w:hint="eastAsia" w:ascii="宋体" w:hAnsi="宋体" w:cs="宋体"/>
                              <w:sz w:val="28"/>
                              <w:szCs w:val="44"/>
                            </w:rPr>
                            <w:fldChar w:fldCharType="end"/>
                          </w:r>
                        </w:p>
                      </w:txbxContent>
                    </wps:txbx>
                    <wps:bodyPr wrap="none" lIns="0" tIns="0" rIns="0" bIns="0" upright="true">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BYA&#10;AABkcnMvUEsBAhQAFAAAAAgAh07iQLNJWO7QAAAABQEAAA8AAAAAAAAAAQAgAAAAOAAAAGRycy9k&#10;b3ducmV2LnhtbFBLAQIUABQAAAAIAIdO4kC6mwvkuwEAAFoDAAAOAAAAAAAAAAEAIAAAADUBAABk&#10;cnMvZTJvRG9jLnhtbFBLBQYAAAAABgAGAFkBAABiBQAAAAA=&#10;">
              <v:fill on="f" focussize="0,0"/>
              <v:stroke on="f" weight="0.5pt"/>
              <v:imagedata o:title=""/>
              <o:lock v:ext="edit" aspectratio="f"/>
              <v:textbox inset="0mm,0mm,0mm,0mm" style="mso-fit-shape-to-text:t;">
                <w:txbxContent>
                  <w:p>
                    <w:pPr>
                      <w:pStyle w:val="15"/>
                    </w:pPr>
                    <w:r>
                      <w:rPr>
                        <w:rFonts w:hint="eastAsia" w:ascii="宋体" w:hAnsi="宋体" w:eastAsia="宋体" w:cs="宋体"/>
                        <w:sz w:val="28"/>
                        <w:szCs w:val="44"/>
                      </w:rPr>
                      <w:fldChar w:fldCharType="begin"/>
                    </w:r>
                    <w:r>
                      <w:rPr>
                        <w:rFonts w:hint="eastAsia" w:ascii="宋体" w:hAnsi="宋体" w:eastAsia="宋体" w:cs="宋体"/>
                        <w:sz w:val="28"/>
                        <w:szCs w:val="44"/>
                      </w:rPr>
                      <w:instrText xml:space="preserve"> PAGE  \* MERGEFORMAT </w:instrText>
                    </w:r>
                    <w:r>
                      <w:rPr>
                        <w:rFonts w:hint="eastAsia" w:ascii="宋体" w:hAnsi="宋体" w:cs="宋体"/>
                        <w:sz w:val="28"/>
                        <w:szCs w:val="44"/>
                      </w:rPr>
                      <w:fldChar w:fldCharType="separate"/>
                    </w:r>
                    <w:r>
                      <w:rPr>
                        <w:rFonts w:hint="eastAsia" w:ascii="宋体" w:hAnsi="宋体" w:eastAsia="宋体" w:cs="宋体"/>
                        <w:sz w:val="28"/>
                        <w:szCs w:val="44"/>
                      </w:rPr>
                      <w:t>- 1 -</w:t>
                    </w:r>
                    <w:r>
                      <w:rPr>
                        <w:rFonts w:hint="eastAsia" w:ascii="宋体" w:hAnsi="宋体" w:cs="宋体"/>
                        <w:sz w:val="28"/>
                        <w:szCs w:val="44"/>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wordWrap w:val="0"/>
      <w:ind w:right="720"/>
      <w:rPr>
        <w:rFonts w:hint="eastAsia" w:ascii="仿宋_GB2312"/>
        <w:sz w:val="24"/>
      </w:rPr>
    </w:pPr>
    <w:r>
      <mc:AlternateContent>
        <mc:Choice Requires="wps">
          <w:drawing>
            <wp:anchor distT="0" distB="0" distL="114300" distR="114300" simplePos="0" relativeHeight="102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txbx>
                      <w:txbxContent>
                        <w:p>
                          <w:pPr>
                            <w:pStyle w:val="15"/>
                          </w:pPr>
                          <w:r>
                            <w:rPr>
                              <w:rFonts w:hint="eastAsia" w:ascii="宋体" w:hAnsi="宋体" w:eastAsia="宋体" w:cs="宋体"/>
                              <w:sz w:val="28"/>
                              <w:szCs w:val="44"/>
                            </w:rPr>
                            <w:fldChar w:fldCharType="begin"/>
                          </w:r>
                          <w:r>
                            <w:rPr>
                              <w:rFonts w:hint="eastAsia" w:ascii="宋体" w:hAnsi="宋体" w:eastAsia="宋体" w:cs="宋体"/>
                              <w:sz w:val="28"/>
                              <w:szCs w:val="44"/>
                            </w:rPr>
                            <w:instrText xml:space="preserve"> PAGE  \* MERGEFORMAT </w:instrText>
                          </w:r>
                          <w:r>
                            <w:rPr>
                              <w:rFonts w:hint="eastAsia" w:ascii="宋体" w:hAnsi="宋体" w:cs="宋体"/>
                              <w:sz w:val="28"/>
                              <w:szCs w:val="44"/>
                            </w:rPr>
                            <w:fldChar w:fldCharType="separate"/>
                          </w:r>
                          <w:r>
                            <w:rPr>
                              <w:rFonts w:hint="eastAsia" w:ascii="宋体" w:hAnsi="宋体" w:eastAsia="宋体" w:cs="宋体"/>
                              <w:sz w:val="28"/>
                              <w:szCs w:val="44"/>
                            </w:rPr>
                            <w:t>- 1 -</w:t>
                          </w:r>
                          <w:r>
                            <w:rPr>
                              <w:rFonts w:hint="eastAsia" w:ascii="宋体" w:hAnsi="宋体" w:cs="宋体"/>
                              <w:sz w:val="28"/>
                              <w:szCs w:val="44"/>
                            </w:rPr>
                            <w:fldChar w:fldCharType="end"/>
                          </w:r>
                        </w:p>
                      </w:txbxContent>
                    </wps:txbx>
                    <wps:bodyPr wrap="none" lIns="0" tIns="0" rIns="0" bIns="0" upright="true">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102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BYA&#10;AABkcnMvUEsBAhQAFAAAAAgAh07iQLNJWO7QAAAABQEAAA8AAAAAAAAAAQAgAAAAOAAAAGRycy9k&#10;b3ducmV2LnhtbFBLAQIUABQAAAAIAIdO4kBUakixuwEAAFoDAAAOAAAAAAAAAAEAIAAAADUBAABk&#10;cnMvZTJvRG9jLnhtbFBLBQYAAAAABgAGAFkBAABiBQAAAAA=&#10;">
              <v:fill on="f" focussize="0,0"/>
              <v:stroke on="f" weight="0.5pt"/>
              <v:imagedata o:title=""/>
              <o:lock v:ext="edit" aspectratio="f"/>
              <v:textbox inset="0mm,0mm,0mm,0mm" style="mso-fit-shape-to-text:t;">
                <w:txbxContent>
                  <w:p>
                    <w:pPr>
                      <w:pStyle w:val="15"/>
                    </w:pPr>
                    <w:r>
                      <w:rPr>
                        <w:rFonts w:hint="eastAsia" w:ascii="宋体" w:hAnsi="宋体" w:eastAsia="宋体" w:cs="宋体"/>
                        <w:sz w:val="28"/>
                        <w:szCs w:val="44"/>
                      </w:rPr>
                      <w:fldChar w:fldCharType="begin"/>
                    </w:r>
                    <w:r>
                      <w:rPr>
                        <w:rFonts w:hint="eastAsia" w:ascii="宋体" w:hAnsi="宋体" w:eastAsia="宋体" w:cs="宋体"/>
                        <w:sz w:val="28"/>
                        <w:szCs w:val="44"/>
                      </w:rPr>
                      <w:instrText xml:space="preserve"> PAGE  \* MERGEFORMAT </w:instrText>
                    </w:r>
                    <w:r>
                      <w:rPr>
                        <w:rFonts w:hint="eastAsia" w:ascii="宋体" w:hAnsi="宋体" w:cs="宋体"/>
                        <w:sz w:val="28"/>
                        <w:szCs w:val="44"/>
                      </w:rPr>
                      <w:fldChar w:fldCharType="separate"/>
                    </w:r>
                    <w:r>
                      <w:rPr>
                        <w:rFonts w:hint="eastAsia" w:ascii="宋体" w:hAnsi="宋体" w:eastAsia="宋体" w:cs="宋体"/>
                        <w:sz w:val="28"/>
                        <w:szCs w:val="44"/>
                      </w:rPr>
                      <w:t>- 1 -</w:t>
                    </w:r>
                    <w:r>
                      <w:rPr>
                        <w:rFonts w:hint="eastAsia" w:ascii="宋体" w:hAnsi="宋体" w:cs="宋体"/>
                        <w:sz w:val="28"/>
                        <w:szCs w:val="44"/>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Fonts w:ascii="宋体" w:hAnsi="宋体" w:eastAsia="宋体"/>
      </w:rPr>
    </w:pPr>
    <w:r>
      <w:rPr>
        <w:rFonts w:hint="eastAsia" w:ascii="宋体" w:hAnsi="宋体" w:eastAsia="宋体"/>
      </w:rPr>
      <w:t>全国人大法规备案审查信息平台电子文件格式规范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765A27"/>
    <w:multiLevelType w:val="multilevel"/>
    <w:tmpl w:val="9F765A27"/>
    <w:lvl w:ilvl="0" w:tentative="0">
      <w:start w:val="1"/>
      <w:numFmt w:val="decimal"/>
      <w:lvlText w:val="%1"/>
      <w:lvlJc w:val="left"/>
      <w:pPr>
        <w:ind w:left="425" w:hanging="425"/>
      </w:pPr>
    </w:lvl>
    <w:lvl w:ilvl="1" w:tentative="0">
      <w:start w:val="1"/>
      <w:numFmt w:val="decimal"/>
      <w:pStyle w:val="30"/>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60"/>
  <w:drawingGridVerticalSpacing w:val="435"/>
  <w:displayHorizontalDrawingGridEvery w:val="0"/>
  <w:characterSpacingControl w:val="compressPunctuation"/>
  <w:noLineBreaksAfter w:lang="zh-CN" w:val="([{·‘“〈《「『【〔〖（．［｛￡￥"/>
  <w:noLineBreaksBefore w:lang="zh-CN" w:val="!),.:;?]}¨·ˇˉ―‖’”…∶、。〃々〉》」』】〕〗！＂＇），．：；？］｀｜｝～￠"/>
  <w:hdrShapeDefaults>
    <o:shapelayout v:ext="edit">
      <o:idmap v:ext="edit" data="2"/>
    </o:shapelayout>
  </w:hdrShapeDefaults>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9F198D"/>
  </w:rsids>
  <m:mathPr>
    <m:mathFont m:val="Cambria Math"/>
    <m:brkBin m:val="before"/>
    <m:brkBinSub m:val="--"/>
    <m:smallFrac m:val="0"/>
    <m:dispDef/>
    <m:lMargin m:val="0"/>
    <m:rMargin m:val="0"/>
    <m:defJc m:val="centerGroup"/>
    <m:preSp m:val="0"/>
    <m:postSp m:val="0"/>
    <m:interSp m:val="0"/>
    <m:intraSp m:val="0"/>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iPriority="99"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uiPriority w:val="0"/>
  </w:style>
  <w:style w:type="table" w:default="1" w:styleId="4">
    <w:name w:val="Normal Table"/>
    <w:uiPriority w:val="0"/>
    <w:tblPr>
      <w:tblCellMar>
        <w:top w:w="0" w:type="dxa"/>
        <w:left w:w="108" w:type="dxa"/>
        <w:bottom w:w="0" w:type="dxa"/>
        <w:right w:w="108" w:type="dxa"/>
      </w:tblCellMar>
    </w:tblPr>
  </w:style>
  <w:style w:type="paragraph" w:styleId="2">
    <w:name w:val="toc 1"/>
    <w:basedOn w:val="1"/>
    <w:next w:val="1"/>
    <w:qFormat/>
    <w:uiPriority w:val="39"/>
  </w:style>
  <w:style w:type="paragraph" w:styleId="3">
    <w:name w:val="toc 2"/>
    <w:basedOn w:val="1"/>
    <w:next w:val="1"/>
    <w:qFormat/>
    <w:uiPriority w:val="39"/>
    <w:pPr>
      <w:ind w:left="420" w:leftChars="200"/>
    </w:pPr>
  </w:style>
  <w:style w:type="table" w:styleId="5">
    <w:name w:val="Table Grid"/>
    <w:basedOn w:val="6"/>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6">
    <w:name w:val="普通表格1"/>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customStyle="1" w:styleId="8">
    <w:name w:val="标题 11"/>
    <w:basedOn w:val="1"/>
    <w:next w:val="1"/>
    <w:link w:val="26"/>
    <w:qFormat/>
    <w:uiPriority w:val="0"/>
    <w:pPr>
      <w:keepNext/>
      <w:keepLines/>
      <w:spacing w:before="340" w:after="330" w:line="578" w:lineRule="auto"/>
      <w:outlineLvl w:val="0"/>
    </w:pPr>
    <w:rPr>
      <w:b/>
      <w:bCs/>
      <w:kern w:val="44"/>
      <w:sz w:val="44"/>
      <w:szCs w:val="44"/>
    </w:rPr>
  </w:style>
  <w:style w:type="paragraph" w:customStyle="1" w:styleId="9">
    <w:name w:val="标题 21"/>
    <w:basedOn w:val="1"/>
    <w:next w:val="1"/>
    <w:link w:val="33"/>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customStyle="1" w:styleId="10">
    <w:name w:val="标题 31"/>
    <w:basedOn w:val="1"/>
    <w:next w:val="1"/>
    <w:link w:val="32"/>
    <w:qFormat/>
    <w:uiPriority w:val="0"/>
    <w:pPr>
      <w:keepNext/>
      <w:keepLines/>
      <w:spacing w:before="260" w:after="260" w:line="416" w:lineRule="auto"/>
      <w:outlineLvl w:val="2"/>
    </w:pPr>
    <w:rPr>
      <w:b/>
      <w:bCs/>
      <w:szCs w:val="32"/>
    </w:rPr>
  </w:style>
  <w:style w:type="character" w:customStyle="1" w:styleId="11">
    <w:name w:val="默认段落字体1"/>
    <w:semiHidden/>
    <w:qFormat/>
    <w:uiPriority w:val="0"/>
  </w:style>
  <w:style w:type="character" w:customStyle="1" w:styleId="12">
    <w:name w:val="超链接1"/>
    <w:qFormat/>
    <w:uiPriority w:val="99"/>
    <w:rPr>
      <w:rFonts w:hint="default" w:ascii="ˎ̥" w:hAnsi="ˎ̥"/>
      <w:color w:val="0404B3"/>
      <w:sz w:val="18"/>
      <w:szCs w:val="18"/>
      <w:u w:val="none"/>
    </w:rPr>
  </w:style>
  <w:style w:type="character" w:customStyle="1" w:styleId="13">
    <w:name w:val="访问过的超链接"/>
    <w:qFormat/>
    <w:uiPriority w:val="0"/>
    <w:rPr>
      <w:color w:val="800080"/>
      <w:u w:val="single"/>
    </w:rPr>
  </w:style>
  <w:style w:type="character" w:customStyle="1" w:styleId="14">
    <w:name w:val="页码1"/>
    <w:basedOn w:val="11"/>
    <w:qFormat/>
    <w:uiPriority w:val="0"/>
  </w:style>
  <w:style w:type="paragraph" w:customStyle="1" w:styleId="15">
    <w:name w:val="页脚1"/>
    <w:basedOn w:val="1"/>
    <w:qFormat/>
    <w:uiPriority w:val="0"/>
    <w:pPr>
      <w:tabs>
        <w:tab w:val="center" w:pos="4153"/>
        <w:tab w:val="right" w:pos="8306"/>
      </w:tabs>
      <w:snapToGrid w:val="0"/>
      <w:jc w:val="left"/>
    </w:pPr>
    <w:rPr>
      <w:sz w:val="18"/>
      <w:szCs w:val="18"/>
    </w:rPr>
  </w:style>
  <w:style w:type="paragraph" w:customStyle="1" w:styleId="16">
    <w:name w:val="批注框文本1"/>
    <w:basedOn w:val="1"/>
    <w:semiHidden/>
    <w:qFormat/>
    <w:uiPriority w:val="0"/>
    <w:rPr>
      <w:sz w:val="18"/>
      <w:szCs w:val="18"/>
    </w:rPr>
  </w:style>
  <w:style w:type="paragraph" w:customStyle="1" w:styleId="17">
    <w:name w:val="页眉1"/>
    <w:basedOn w:val="1"/>
    <w:qFormat/>
    <w:uiPriority w:val="99"/>
    <w:pPr>
      <w:pBdr>
        <w:bottom w:val="single" w:color="auto" w:sz="6" w:space="1"/>
      </w:pBdr>
      <w:tabs>
        <w:tab w:val="center" w:pos="4153"/>
        <w:tab w:val="right" w:pos="8306"/>
      </w:tabs>
      <w:snapToGrid w:val="0"/>
      <w:jc w:val="center"/>
    </w:pPr>
    <w:rPr>
      <w:sz w:val="18"/>
      <w:szCs w:val="18"/>
    </w:rPr>
  </w:style>
  <w:style w:type="character" w:customStyle="1" w:styleId="18">
    <w:name w:val="页眉 字符"/>
    <w:qFormat/>
    <w:uiPriority w:val="99"/>
    <w:rPr>
      <w:rFonts w:eastAsia="仿宋_GB2312"/>
      <w:kern w:val="2"/>
      <w:sz w:val="18"/>
      <w:szCs w:val="18"/>
    </w:rPr>
  </w:style>
  <w:style w:type="character" w:customStyle="1" w:styleId="19">
    <w:name w:val="纯文本 字符"/>
    <w:qFormat/>
    <w:uiPriority w:val="99"/>
    <w:rPr>
      <w:rFonts w:ascii="宋体" w:hAnsi="Courier New" w:cs="Courier New"/>
      <w:kern w:val="2"/>
      <w:sz w:val="21"/>
      <w:szCs w:val="21"/>
    </w:rPr>
  </w:style>
  <w:style w:type="paragraph" w:customStyle="1" w:styleId="20">
    <w:name w:val="纯文本1"/>
    <w:basedOn w:val="1"/>
    <w:unhideWhenUsed/>
    <w:qFormat/>
    <w:uiPriority w:val="99"/>
    <w:rPr>
      <w:rFonts w:ascii="宋体" w:hAnsi="Courier New" w:eastAsia="宋体" w:cs="Courier New"/>
      <w:sz w:val="21"/>
      <w:szCs w:val="21"/>
    </w:rPr>
  </w:style>
  <w:style w:type="character" w:customStyle="1" w:styleId="21">
    <w:name w:val="纯文本 Char1"/>
    <w:qFormat/>
    <w:uiPriority w:val="0"/>
    <w:rPr>
      <w:rFonts w:ascii="宋体" w:hAnsi="Courier New" w:cs="Courier New"/>
      <w:kern w:val="2"/>
      <w:sz w:val="21"/>
      <w:szCs w:val="21"/>
    </w:rPr>
  </w:style>
  <w:style w:type="character" w:customStyle="1" w:styleId="22">
    <w:name w:val="要点1"/>
    <w:qFormat/>
    <w:uiPriority w:val="0"/>
    <w:rPr>
      <w:b/>
      <w:bCs/>
    </w:rPr>
  </w:style>
  <w:style w:type="character" w:customStyle="1" w:styleId="23">
    <w:name w:val="强调1"/>
    <w:qFormat/>
    <w:uiPriority w:val="0"/>
    <w:rPr>
      <w:i/>
      <w:iCs/>
    </w:rPr>
  </w:style>
  <w:style w:type="paragraph" w:customStyle="1" w:styleId="24">
    <w:name w:val="副标题1"/>
    <w:basedOn w:val="1"/>
    <w:next w:val="1"/>
    <w:qFormat/>
    <w:uiPriority w:val="0"/>
    <w:pPr>
      <w:spacing w:before="240" w:after="60" w:line="312" w:lineRule="auto"/>
      <w:jc w:val="center"/>
      <w:outlineLvl w:val="1"/>
    </w:pPr>
    <w:rPr>
      <w:rFonts w:ascii="Cambria" w:hAnsi="Cambria" w:eastAsia="宋体" w:cs="Times New Roman"/>
      <w:b/>
      <w:bCs/>
      <w:kern w:val="28"/>
      <w:szCs w:val="32"/>
    </w:rPr>
  </w:style>
  <w:style w:type="character" w:customStyle="1" w:styleId="25">
    <w:name w:val="副标题 字符"/>
    <w:qFormat/>
    <w:uiPriority w:val="0"/>
    <w:rPr>
      <w:rFonts w:ascii="Cambria" w:hAnsi="Cambria" w:cs="Times New Roman"/>
      <w:b/>
      <w:bCs/>
      <w:kern w:val="28"/>
      <w:sz w:val="32"/>
      <w:szCs w:val="32"/>
    </w:rPr>
  </w:style>
  <w:style w:type="character" w:customStyle="1" w:styleId="26">
    <w:name w:val="标题 1 字符"/>
    <w:link w:val="8"/>
    <w:qFormat/>
    <w:uiPriority w:val="0"/>
    <w:rPr>
      <w:rFonts w:eastAsia="仿宋_GB2312"/>
      <w:b/>
      <w:bCs/>
      <w:kern w:val="44"/>
      <w:sz w:val="44"/>
      <w:szCs w:val="44"/>
    </w:rPr>
  </w:style>
  <w:style w:type="paragraph" w:customStyle="1" w:styleId="27">
    <w:name w:val="标题1"/>
    <w:basedOn w:val="1"/>
    <w:next w:val="1"/>
    <w:qFormat/>
    <w:uiPriority w:val="0"/>
    <w:pPr>
      <w:spacing w:before="240" w:after="60"/>
      <w:jc w:val="center"/>
      <w:outlineLvl w:val="0"/>
    </w:pPr>
    <w:rPr>
      <w:rFonts w:ascii="Cambria" w:hAnsi="Cambria" w:eastAsia="宋体" w:cs="Times New Roman"/>
      <w:b/>
      <w:bCs/>
      <w:szCs w:val="32"/>
    </w:rPr>
  </w:style>
  <w:style w:type="character" w:customStyle="1" w:styleId="28">
    <w:name w:val="标题 字符"/>
    <w:qFormat/>
    <w:uiPriority w:val="0"/>
    <w:rPr>
      <w:rFonts w:ascii="Cambria" w:hAnsi="Cambria" w:cs="Times New Roman"/>
      <w:b/>
      <w:bCs/>
      <w:kern w:val="2"/>
      <w:sz w:val="32"/>
      <w:szCs w:val="32"/>
    </w:rPr>
  </w:style>
  <w:style w:type="paragraph" w:customStyle="1" w:styleId="29">
    <w:name w:val="TOC 标题"/>
    <w:basedOn w:val="8"/>
    <w:next w:val="1"/>
    <w:link w:val="35"/>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30">
    <w:name w:val="1.1"/>
    <w:basedOn w:val="10"/>
    <w:qFormat/>
    <w:uiPriority w:val="0"/>
    <w:pPr>
      <w:numPr>
        <w:ilvl w:val="1"/>
        <w:numId w:val="1"/>
      </w:numPr>
      <w:ind w:firstLine="0"/>
      <w:jc w:val="left"/>
    </w:pPr>
    <w:rPr>
      <w:rFonts w:ascii="Calibri" w:hAnsi="Calibri" w:eastAsia="宋体"/>
      <w:sz w:val="30"/>
    </w:rPr>
  </w:style>
  <w:style w:type="character" w:customStyle="1" w:styleId="31">
    <w:name w:val="1.1 Char"/>
    <w:qFormat/>
    <w:uiPriority w:val="0"/>
    <w:rPr>
      <w:rFonts w:ascii="Calibri" w:hAnsi="Calibri"/>
      <w:b/>
      <w:bCs/>
      <w:kern w:val="2"/>
      <w:sz w:val="30"/>
      <w:szCs w:val="32"/>
    </w:rPr>
  </w:style>
  <w:style w:type="character" w:customStyle="1" w:styleId="32">
    <w:name w:val="标题 3 字符"/>
    <w:link w:val="10"/>
    <w:semiHidden/>
    <w:qFormat/>
    <w:uiPriority w:val="0"/>
    <w:rPr>
      <w:rFonts w:eastAsia="仿宋_GB2312"/>
      <w:b/>
      <w:bCs/>
      <w:kern w:val="2"/>
      <w:sz w:val="32"/>
      <w:szCs w:val="32"/>
    </w:rPr>
  </w:style>
  <w:style w:type="character" w:customStyle="1" w:styleId="33">
    <w:name w:val="标题 2 字符"/>
    <w:link w:val="9"/>
    <w:qFormat/>
    <w:uiPriority w:val="9"/>
    <w:rPr>
      <w:rFonts w:ascii="Cambria" w:hAnsi="Cambria"/>
      <w:b/>
      <w:bCs/>
      <w:kern w:val="2"/>
      <w:sz w:val="32"/>
      <w:szCs w:val="32"/>
    </w:rPr>
  </w:style>
  <w:style w:type="paragraph" w:customStyle="1" w:styleId="34">
    <w:name w:val="文档结构图1"/>
    <w:basedOn w:val="1"/>
    <w:semiHidden/>
    <w:qFormat/>
    <w:uiPriority w:val="0"/>
    <w:pPr>
      <w:shd w:val="clear" w:color="auto" w:fill="000080"/>
    </w:pPr>
  </w:style>
  <w:style w:type="character" w:customStyle="1" w:styleId="35">
    <w:name w:val="页脚 字符"/>
    <w:link w:val="29"/>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Pages>
  <Words>3</Words>
  <Characters>19</Characters>
  <Lines>1</Lines>
  <Paragraphs>1</Paragraphs>
  <TotalTime>326</TotalTime>
  <ScaleCrop>false</ScaleCrop>
  <LinksUpToDate>false</LinksUpToDate>
  <CharactersWithSpaces>21</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2016-10-19T15:39:00Z</dcterms:created>
  <dc:creator>Lenovo</dc:creator>
  <cp:lastModifiedBy>    </cp:lastModifiedBy>
  <cp:lastPrinted>2016-11-16T00:26:00Z</cp:lastPrinted>
  <dcterms:modified xsi:type="dcterms:W3CDTF">2023-02-20T16:29:58Z</dcterms:modified>
  <dc:title>法规修改决定电子报备格式标准及示例</dc:title>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