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14:textFill>
            <w14:solidFill>
              <w14:schemeClr w14:val="tx1"/>
            </w14:solidFill>
          </w14:textFill>
        </w:rPr>
      </w:pPr>
    </w:p>
    <w:p>
      <w:pPr>
        <w:rPr>
          <w:rFonts w:hint="eastAsia" w:ascii="宋体" w:hAnsi="宋体" w:eastAsia="宋体" w:cs="Arial"/>
          <w:color w:val="000000" w:themeColor="text1"/>
          <w:kern w:val="0"/>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Arial"/>
          <w:bCs/>
          <w:color w:val="000000" w:themeColor="text1"/>
          <w:sz w:val="44"/>
          <w:szCs w:val="44"/>
        </w:rPr>
      </w:pPr>
      <w:r>
        <w:rPr>
          <w:rFonts w:ascii="宋体" w:hAnsi="宋体" w:eastAsia="宋体" w:cs="Arial"/>
          <w:bCs/>
          <w:color w:val="000000" w:themeColor="text1"/>
          <w:sz w:val="44"/>
          <w:szCs w:val="44"/>
        </w:rPr>
        <w:t>郴州市人民代表大会及其常务委员会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Arial"/>
          <w:bCs/>
          <w:color w:val="000000" w:themeColor="text1"/>
          <w:sz w:val="44"/>
          <w:szCs w:val="44"/>
        </w:rPr>
      </w:pPr>
      <w:r>
        <w:rPr>
          <w:rFonts w:ascii="宋体" w:hAnsi="宋体" w:eastAsia="宋体" w:cs="Arial"/>
          <w:bCs/>
          <w:color w:val="000000" w:themeColor="text1"/>
          <w:sz w:val="44"/>
          <w:szCs w:val="44"/>
        </w:rPr>
        <w:t>制定地方性法规条例</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ascii="Times New Roman" w:hAnsi="Times New Roman"/>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（2020年1月9日郴州市第五届人民代表大会第四次会议通过</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2020年3月31日湖南省第十三届人民代表大会常务委员会第十六次会议批准）</w:t>
      </w:r>
    </w:p>
    <w:p>
      <w:pPr>
        <w:keepNext w:val="0"/>
        <w:keepLines w:val="0"/>
        <w:pageBreakBefore w:val="0"/>
        <w:widowControl w:val="0"/>
        <w:kinsoku/>
        <w:wordWrap/>
        <w:overflowPunct/>
        <w:topLinePunct w:val="0"/>
        <w:autoSpaceDE/>
        <w:autoSpaceDN/>
        <w:bidi w:val="0"/>
        <w:adjustRightInd/>
        <w:snapToGrid/>
        <w:spacing w:line="570" w:lineRule="exact"/>
        <w:ind w:firstLine="750" w:firstLineChars="250"/>
        <w:jc w:val="left"/>
        <w:textAlignment w:val="auto"/>
        <w:outlineLvl w:val="9"/>
        <w:rPr>
          <w:rFonts w:ascii="Times New Roman" w:hAnsi="Times New Roman" w:eastAsia="楷体_GB2312"/>
          <w:color w:val="000000" w:themeColor="text1"/>
          <w:spacing w:val="-10"/>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ascii="Times New Roman" w:hAnsi="Times New Roman" w:eastAsia="楷体_GB2312"/>
          <w:color w:val="000000" w:themeColor="text1"/>
          <w:spacing w:val="-10"/>
          <w:sz w:val="32"/>
          <w:szCs w:val="32"/>
          <w14:textFill>
            <w14:solidFill>
              <w14:schemeClr w14:val="tx1"/>
            </w14:solidFill>
          </w14:textFill>
        </w:rPr>
      </w:pPr>
      <w:r>
        <w:rPr>
          <w:rFonts w:ascii="Times New Roman" w:hAnsi="Times New Roman" w:eastAsia="楷体_GB2312"/>
          <w:color w:val="000000" w:themeColor="text1"/>
          <w:spacing w:val="-10"/>
          <w:sz w:val="32"/>
          <w:szCs w:val="32"/>
          <w14:textFill>
            <w14:solidFill>
              <w14:schemeClr w14:val="tx1"/>
            </w14:solidFill>
          </w14:textFill>
        </w:rPr>
        <w:t>目</w:t>
      </w:r>
      <w:r>
        <w:rPr>
          <w:rFonts w:hint="eastAsia" w:eastAsia="楷体_GB2312"/>
          <w:color w:val="000000" w:themeColor="text1"/>
          <w:spacing w:val="-10"/>
          <w:sz w:val="32"/>
          <w:szCs w:val="32"/>
          <w:lang w:val="en-US" w:eastAsia="zh-CN"/>
          <w14:textFill>
            <w14:solidFill>
              <w14:schemeClr w14:val="tx1"/>
            </w14:solidFill>
          </w14:textFill>
        </w:rPr>
        <w:t xml:space="preserve">    </w:t>
      </w:r>
      <w:r>
        <w:rPr>
          <w:rFonts w:ascii="Times New Roman" w:hAnsi="Times New Roman" w:eastAsia="楷体_GB2312"/>
          <w:color w:val="000000" w:themeColor="text1"/>
          <w:spacing w:val="-10"/>
          <w:sz w:val="32"/>
          <w:szCs w:val="32"/>
          <w14:textFill>
            <w14:solidFill>
              <w14:schemeClr w14:val="tx1"/>
            </w14:solidFill>
          </w14:textFill>
        </w:rPr>
        <w:t>录</w:t>
      </w:r>
    </w:p>
    <w:p>
      <w:pPr>
        <w:keepNext w:val="0"/>
        <w:keepLines w:val="0"/>
        <w:pageBreakBefore w:val="0"/>
        <w:widowControl w:val="0"/>
        <w:kinsoku/>
        <w:wordWrap/>
        <w:overflowPunct/>
        <w:topLinePunct w:val="0"/>
        <w:autoSpaceDE/>
        <w:autoSpaceDN/>
        <w:bidi w:val="0"/>
        <w:adjustRightInd/>
        <w:snapToGrid/>
        <w:spacing w:line="570" w:lineRule="exact"/>
        <w:ind w:firstLine="600" w:firstLineChars="200"/>
        <w:textAlignment w:val="auto"/>
        <w:outlineLvl w:val="9"/>
        <w:rPr>
          <w:rFonts w:ascii="Times New Roman" w:hAnsi="Times New Roman" w:eastAsia="楷体_GB2312"/>
          <w:color w:val="000000" w:themeColor="text1"/>
          <w:spacing w:val="-10"/>
          <w:sz w:val="32"/>
          <w:szCs w:val="32"/>
          <w14:textFill>
            <w14:solidFill>
              <w14:schemeClr w14:val="tx1"/>
            </w14:solidFill>
          </w14:textFill>
        </w:rPr>
      </w:pPr>
      <w:r>
        <w:rPr>
          <w:rFonts w:ascii="Times New Roman" w:hAnsi="Times New Roman" w:eastAsia="楷体_GB2312"/>
          <w:color w:val="000000" w:themeColor="text1"/>
          <w:spacing w:val="-10"/>
          <w:sz w:val="32"/>
          <w:szCs w:val="32"/>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snapToGrid/>
        <w:spacing w:line="570" w:lineRule="exact"/>
        <w:ind w:firstLine="600" w:firstLineChars="200"/>
        <w:textAlignment w:val="auto"/>
        <w:outlineLvl w:val="9"/>
        <w:rPr>
          <w:rFonts w:ascii="Times New Roman" w:hAnsi="Times New Roman" w:eastAsia="楷体_GB2312"/>
          <w:color w:val="000000" w:themeColor="text1"/>
          <w:spacing w:val="-10"/>
          <w:sz w:val="32"/>
          <w:szCs w:val="32"/>
          <w14:textFill>
            <w14:solidFill>
              <w14:schemeClr w14:val="tx1"/>
            </w14:solidFill>
          </w14:textFill>
        </w:rPr>
      </w:pPr>
      <w:r>
        <w:rPr>
          <w:rFonts w:ascii="Times New Roman" w:hAnsi="Times New Roman" w:eastAsia="楷体_GB2312"/>
          <w:color w:val="000000" w:themeColor="text1"/>
          <w:spacing w:val="-10"/>
          <w:sz w:val="32"/>
          <w:szCs w:val="32"/>
          <w14:textFill>
            <w14:solidFill>
              <w14:schemeClr w14:val="tx1"/>
            </w14:solidFill>
          </w14:textFill>
        </w:rPr>
        <w:t xml:space="preserve">第二章  </w:t>
      </w:r>
      <w:r>
        <w:rPr>
          <w:rFonts w:ascii="Times New Roman" w:hAnsi="Times New Roman" w:eastAsia="楷体_GB2312"/>
          <w:color w:val="000000" w:themeColor="text1"/>
          <w:sz w:val="32"/>
          <w:szCs w:val="32"/>
          <w14:textFill>
            <w14:solidFill>
              <w14:schemeClr w14:val="tx1"/>
            </w14:solidFill>
          </w14:textFill>
        </w:rPr>
        <w:t>市人民代表大会制定地方性法规程序</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ascii="Times New Roman" w:hAnsi="Times New Roman" w:eastAsia="楷体_GB2312"/>
          <w:color w:val="000000" w:themeColor="text1"/>
          <w:sz w:val="32"/>
          <w:szCs w:val="32"/>
          <w14:textFill>
            <w14:solidFill>
              <w14:schemeClr w14:val="tx1"/>
            </w14:solidFill>
          </w14:textFill>
        </w:rPr>
      </w:pPr>
      <w:r>
        <w:rPr>
          <w:rFonts w:hint="eastAsia" w:eastAsia="楷体_GB2312"/>
          <w:color w:val="000000" w:themeColor="text1"/>
          <w:spacing w:val="-10"/>
          <w:sz w:val="32"/>
          <w:szCs w:val="32"/>
          <w:lang w:val="en-US" w:eastAsia="zh-CN"/>
          <w14:textFill>
            <w14:solidFill>
              <w14:schemeClr w14:val="tx1"/>
            </w14:solidFill>
          </w14:textFill>
        </w:rPr>
        <w:t xml:space="preserve">    </w:t>
      </w:r>
      <w:r>
        <w:rPr>
          <w:rFonts w:ascii="Times New Roman" w:hAnsi="Times New Roman" w:eastAsia="楷体_GB2312"/>
          <w:color w:val="000000" w:themeColor="text1"/>
          <w:spacing w:val="-10"/>
          <w:sz w:val="32"/>
          <w:szCs w:val="32"/>
          <w14:textFill>
            <w14:solidFill>
              <w14:schemeClr w14:val="tx1"/>
            </w14:solidFill>
          </w14:textFill>
        </w:rPr>
        <w:t xml:space="preserve">第三章  </w:t>
      </w:r>
      <w:r>
        <w:rPr>
          <w:rFonts w:ascii="Times New Roman" w:hAnsi="Times New Roman" w:eastAsia="楷体_GB2312"/>
          <w:color w:val="000000" w:themeColor="text1"/>
          <w:sz w:val="32"/>
          <w:szCs w:val="32"/>
          <w14:textFill>
            <w14:solidFill>
              <w14:schemeClr w14:val="tx1"/>
            </w14:solidFill>
          </w14:textFill>
        </w:rPr>
        <w:t>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0" w:lineRule="exact"/>
        <w:ind w:firstLine="600" w:firstLineChars="200"/>
        <w:textAlignment w:val="auto"/>
        <w:outlineLvl w:val="9"/>
        <w:rPr>
          <w:rFonts w:ascii="Times New Roman" w:hAnsi="Times New Roman" w:eastAsia="楷体_GB2312"/>
          <w:color w:val="000000" w:themeColor="text1"/>
          <w:spacing w:val="-10"/>
          <w:sz w:val="32"/>
          <w:szCs w:val="32"/>
          <w14:textFill>
            <w14:solidFill>
              <w14:schemeClr w14:val="tx1"/>
            </w14:solidFill>
          </w14:textFill>
        </w:rPr>
      </w:pPr>
      <w:r>
        <w:rPr>
          <w:rFonts w:ascii="Times New Roman" w:hAnsi="Times New Roman" w:eastAsia="楷体_GB2312"/>
          <w:color w:val="000000" w:themeColor="text1"/>
          <w:spacing w:val="-10"/>
          <w:sz w:val="32"/>
          <w:szCs w:val="32"/>
          <w14:textFill>
            <w14:solidFill>
              <w14:schemeClr w14:val="tx1"/>
            </w14:solidFill>
          </w14:textFill>
        </w:rPr>
        <w:t xml:space="preserve">第四章  </w:t>
      </w:r>
      <w:r>
        <w:rPr>
          <w:rFonts w:ascii="Times New Roman" w:hAnsi="Times New Roman" w:eastAsia="楷体_GB2312"/>
          <w:color w:val="000000" w:themeColor="text1"/>
          <w:sz w:val="32"/>
          <w:szCs w:val="32"/>
          <w14:textFill>
            <w14:solidFill>
              <w14:schemeClr w14:val="tx1"/>
            </w14:solidFill>
          </w14:textFill>
        </w:rPr>
        <w:t>地方性法规的报批、公布和解释</w:t>
      </w:r>
    </w:p>
    <w:p>
      <w:pPr>
        <w:keepNext w:val="0"/>
        <w:keepLines w:val="0"/>
        <w:pageBreakBefore w:val="0"/>
        <w:widowControl w:val="0"/>
        <w:kinsoku/>
        <w:wordWrap/>
        <w:overflowPunct/>
        <w:topLinePunct w:val="0"/>
        <w:autoSpaceDE/>
        <w:autoSpaceDN/>
        <w:bidi w:val="0"/>
        <w:adjustRightInd/>
        <w:snapToGrid/>
        <w:spacing w:line="570" w:lineRule="exact"/>
        <w:ind w:firstLine="600" w:firstLineChars="200"/>
        <w:textAlignment w:val="auto"/>
        <w:outlineLvl w:val="9"/>
        <w:rPr>
          <w:rFonts w:ascii="Times New Roman" w:hAnsi="Times New Roman" w:eastAsia="楷体_GB2312"/>
          <w:color w:val="000000" w:themeColor="text1"/>
          <w:spacing w:val="-10"/>
          <w:sz w:val="32"/>
          <w:szCs w:val="32"/>
          <w14:textFill>
            <w14:solidFill>
              <w14:schemeClr w14:val="tx1"/>
            </w14:solidFill>
          </w14:textFill>
        </w:rPr>
      </w:pPr>
      <w:r>
        <w:rPr>
          <w:rFonts w:ascii="Times New Roman" w:hAnsi="Times New Roman" w:eastAsia="楷体_GB2312"/>
          <w:color w:val="000000" w:themeColor="text1"/>
          <w:spacing w:val="-10"/>
          <w:sz w:val="32"/>
          <w:szCs w:val="32"/>
          <w14:textFill>
            <w14:solidFill>
              <w14:schemeClr w14:val="tx1"/>
            </w14:solidFill>
          </w14:textFill>
        </w:rPr>
        <w:t xml:space="preserve">第五章  </w:t>
      </w:r>
      <w:r>
        <w:rPr>
          <w:rFonts w:ascii="Times New Roman" w:hAnsi="Times New Roman" w:eastAsia="楷体_GB2312"/>
          <w:color w:val="000000" w:themeColor="text1"/>
          <w:sz w:val="32"/>
          <w:szCs w:val="32"/>
          <w14:textFill>
            <w14:solidFill>
              <w14:schemeClr w14:val="tx1"/>
            </w14:solidFill>
          </w14:textFill>
        </w:rPr>
        <w:t>其他规定</w:t>
      </w:r>
    </w:p>
    <w:p>
      <w:pPr>
        <w:keepNext w:val="0"/>
        <w:keepLines w:val="0"/>
        <w:pageBreakBefore w:val="0"/>
        <w:widowControl w:val="0"/>
        <w:kinsoku/>
        <w:wordWrap/>
        <w:overflowPunct/>
        <w:topLinePunct w:val="0"/>
        <w:autoSpaceDE/>
        <w:autoSpaceDN/>
        <w:bidi w:val="0"/>
        <w:adjustRightInd/>
        <w:snapToGrid/>
        <w:spacing w:line="570" w:lineRule="exact"/>
        <w:ind w:firstLine="600" w:firstLineChars="200"/>
        <w:textAlignment w:val="auto"/>
        <w:outlineLvl w:val="9"/>
        <w:rPr>
          <w:rFonts w:ascii="Times New Roman" w:hAnsi="Times New Roman" w:eastAsia="楷体_GB2312"/>
          <w:color w:val="000000" w:themeColor="text1"/>
          <w:spacing w:val="-10"/>
          <w:sz w:val="32"/>
          <w:szCs w:val="32"/>
          <w14:textFill>
            <w14:solidFill>
              <w14:schemeClr w14:val="tx1"/>
            </w14:solidFill>
          </w14:textFill>
        </w:rPr>
      </w:pPr>
      <w:r>
        <w:rPr>
          <w:rFonts w:ascii="Times New Roman" w:hAnsi="Times New Roman" w:eastAsia="楷体_GB2312"/>
          <w:color w:val="000000" w:themeColor="text1"/>
          <w:spacing w:val="-10"/>
          <w:sz w:val="32"/>
          <w:szCs w:val="32"/>
          <w14:textFill>
            <w14:solidFill>
              <w14:schemeClr w14:val="tx1"/>
            </w14:solidFill>
          </w14:textFill>
        </w:rPr>
        <w:t>第六章  附则</w:t>
      </w:r>
    </w:p>
    <w:p>
      <w:pPr>
        <w:keepNext w:val="0"/>
        <w:keepLines w:val="0"/>
        <w:pageBreakBefore w:val="0"/>
        <w:widowControl w:val="0"/>
        <w:kinsoku/>
        <w:wordWrap/>
        <w:overflowPunct/>
        <w:topLinePunct w:val="0"/>
        <w:autoSpaceDE/>
        <w:autoSpaceDN/>
        <w:bidi w:val="0"/>
        <w:adjustRightInd/>
        <w:snapToGrid/>
        <w:spacing w:line="570" w:lineRule="exact"/>
        <w:ind w:firstLine="3040" w:firstLineChars="950"/>
        <w:textAlignment w:val="auto"/>
        <w:outlineLvl w:val="9"/>
        <w:rPr>
          <w:rFonts w:ascii="Times New Roman" w:hAnsi="Times New Roman"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ascii="Times New Roman" w:hAnsi="Times New Roman"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第一条</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为了规范地方立法活动，提高立法质量，维护社会主义法制的统一，发挥立法的引领和推动作用，根据《中华人民共和国地方各级人民代表大会和地方各级人民政府组织法》《中华人民共和国立法法》和《湖南省地方立法条例》的有关规定，结合本地实际，制定本条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第二条</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市人民代表大会及其常务委员会制定、修改、废止、解释地方性法规及其相关活动，适用本条例。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第三条</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市人民代表大会及其常务委员会根据本市的具体情况和实际需要，在不同宪法、法律、行政法规和本省地方性法规相抵触的前提下，可以对城乡建设与管理、环境保护、历史文化保护等方面的事项制定地方性法规。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第四条</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制定地方性法规，应当坚持中国共产党的领导，遵循《中华人民共和国立法法》规定的基本原则，坚持不抵触、有特色、可操作。对上位法已经明确规定的内容，一般不作重复性规定。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第五条</w:t>
      </w:r>
      <w:r>
        <w:rPr>
          <w:rFonts w:ascii="Times New Roman" w:hAnsi="Times New Roman" w:eastAsia="仿宋"/>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规定本市特别重大事项的地方性法规，应当由市人民代表大会制定。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在市人民代表大会闭会期间，市人民代表大会常务委员会可以对市人民代表大会制定的地方性法规进行部分补充和修改，但不得同该法规的基本原则相抵触。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第六条</w:t>
      </w:r>
      <w:r>
        <w:rPr>
          <w:rFonts w:ascii="Times New Roman" w:hAnsi="Times New Roman" w:eastAsia="仿宋"/>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市人民代表大会及其常务委员会应当加强立法工作组织协调，推进科学立法、民主立法、依法立法，发挥在立法工作中的主导作用,注重提高立法质量。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ascii="Times New Roman" w:hAnsi="Times New Roman" w:eastAsia="黑体"/>
          <w:color w:val="000000" w:themeColor="text1"/>
          <w:sz w:val="32"/>
          <w:szCs w:val="32"/>
          <w14:textFill>
            <w14:solidFill>
              <w14:schemeClr w14:val="tx1"/>
            </w14:solidFill>
          </w14:textFill>
        </w:rPr>
      </w:pPr>
      <w:bookmarkStart w:id="0" w:name="_GoBack"/>
      <w:bookmarkEnd w:id="0"/>
      <w:r>
        <w:rPr>
          <w:rFonts w:ascii="Times New Roman" w:hAnsi="Times New Roman" w:eastAsia="黑体"/>
          <w:color w:val="000000" w:themeColor="text1"/>
          <w:sz w:val="32"/>
          <w:szCs w:val="32"/>
          <w14:textFill>
            <w14:solidFill>
              <w14:schemeClr w14:val="tx1"/>
            </w14:solidFill>
          </w14:textFill>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ascii="Times New Roman" w:hAnsi="Times New Roman"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第七条</w:t>
      </w:r>
      <w:r>
        <w:rPr>
          <w:rFonts w:ascii="Times New Roman" w:hAnsi="Times New Roman" w:eastAsia="仿宋"/>
          <w:b/>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市人民代表大会常务委员会、市人民政府、市人民代表大会专门委员会，可以向市人民代表大会提出地方性法规案，由主席团决定列入会议议程。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一个代表团或者十名以上代表联名，可以向市人民代表大会提出地方性法规案，由主席团决定是否列入会议议程，或者先交有关的专门委员会审议并提出是否列入会议议程的意见，再决定是否列入会议议程。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第八条</w:t>
      </w:r>
      <w:r>
        <w:rPr>
          <w:rFonts w:ascii="Times New Roman" w:hAnsi="Times New Roman" w:eastAsia="仿宋"/>
          <w:b/>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向市人民代表大会提出的地方性法规案，在市人民代表大会闭会期间，可以先向常务委员会提出，经常务委员会依照本条例第三章规定的有关程序审议后，决定提请市人民代表大会审议，由常务委员会或者提案人向大会全体会议作说明。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第九条</w:t>
      </w:r>
      <w:r>
        <w:rPr>
          <w:rFonts w:ascii="Times New Roman" w:hAnsi="Times New Roman" w:eastAsia="仿宋"/>
          <w:b/>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常务委员会决定提请市人民代表大会会议审议的地方性法规案，应当在会议举行的三十日前将法规草案发给代表。</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第十条</w:t>
      </w:r>
      <w:r>
        <w:rPr>
          <w:rFonts w:ascii="Times New Roman" w:hAnsi="Times New Roman" w:eastAsia="仿宋"/>
          <w:b/>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列入市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第十一条</w:t>
      </w:r>
      <w:r>
        <w:rPr>
          <w:rFonts w:ascii="Times New Roman" w:hAnsi="Times New Roman" w:eastAsia="仿宋"/>
          <w:b/>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第十二条</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列入市人民代表大会会议议程的地方性法规案，由法制委员会根据各代表团和有关的专门委员会的审议意见，对地方性法规草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第十三条</w:t>
      </w:r>
      <w:r>
        <w:rPr>
          <w:rFonts w:ascii="Times New Roman" w:hAnsi="Times New Roman" w:eastAsia="仿宋"/>
          <w:b/>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列入市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第十四条</w:t>
      </w:r>
      <w:r>
        <w:rPr>
          <w:rFonts w:ascii="Times New Roman" w:hAnsi="Times New Roman" w:eastAsia="仿宋"/>
          <w:b/>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第十五条</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第十六条</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ascii="Times New Roman" w:hAnsi="Times New Roman"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ascii="Times New Roman" w:hAnsi="Times New Roman" w:eastAsia="仿宋"/>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第十七条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市人民政府、市人民代表大会专门委员会，可以向市人民代表大会常务委员会提出地方性法规案，由主任会议决定列入常务委员会会议议程，或者先交有关的专门委员会审议并提出报告，再决定列入常务委员会会议议程。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第十八条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市人民代表大会常务委员会组成人员五人以上联名，可以向常务委员会提出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第十九条</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市人民代表大会主席团交市人民代表大会常务委员会审议的地方性法规案，由主任会议决定列入常务委员会会议议程。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第二十条</w:t>
      </w:r>
      <w:r>
        <w:rPr>
          <w:rFonts w:ascii="Times New Roman" w:hAnsi="Times New Roman" w:eastAsia="仿宋"/>
          <w:b/>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提请市人民代表大会常务委员会会议审议的地方性法规案，提案人一般应当在会议举行的三十日前向常务委员会提出。</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xml:space="preserve">列入常务委员会会议议程的地方性法规案，一般应当在会议举行的七日前将法规草案、法规草案说明及有关资料发送给常务委员会组成人员。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常务委员会会议审议地方性法规案，应当邀请有关的人大代表列席会议。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第二十一条</w:t>
      </w:r>
      <w:r>
        <w:rPr>
          <w:rFonts w:hint="eastAsia" w:ascii="仿宋_GB2312" w:hAnsi="Times New Roman" w:eastAsia="仿宋_GB2312"/>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 列入市人民代表大会常务委员会会议议程的地方性法规案，一般应当经过三次常务委员会会议审议后再交付表决。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常务委员会会议第一次审议地方性法规案，在全体会议上听取提案人的说明，由分组会议进行初步审议。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常务委员会会议第二次审议地方性法规案，在全体会议上听取法制委员会关于法规草案修改情况的汇报，由分组会议进一步审议。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常务委员会会议第三次审议地方性法规案，在全体会议上听取法制委员会关于法规草案审议结果的报告，由分组会议对法规草案修改稿进行审议。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第二十二条</w:t>
      </w:r>
      <w:r>
        <w:rPr>
          <w:rFonts w:hint="eastAsia" w:ascii="仿宋_GB2312" w:hAnsi="Times New Roman" w:eastAsia="仿宋_GB2312"/>
          <w:color w:val="000000" w:themeColor="text1"/>
          <w:sz w:val="32"/>
          <w:szCs w:val="32"/>
          <w14:textFill>
            <w14:solidFill>
              <w14:schemeClr w14:val="tx1"/>
            </w14:solidFill>
          </w14:textFill>
        </w:rPr>
        <w:t xml:space="preserve">  列入市人民代表大会常务委员会会议议程的地方性法规案，各方面意见比较一致的，可以经两次常务委员会会议审议后交付表决。调整事项较为单一或者部分修改的地方性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列入常务委员会会议议程的废止法规的决定案和其他有关法规问题的决定案，一般经过一次常务委员会会议审议即可交付表决。</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第二十三条</w:t>
      </w:r>
      <w:r>
        <w:rPr>
          <w:rFonts w:hint="eastAsia" w:ascii="仿宋_GB2312" w:hAnsi="Times New Roman" w:eastAsia="仿宋_GB2312"/>
          <w:color w:val="000000" w:themeColor="text1"/>
          <w:sz w:val="32"/>
          <w:szCs w:val="32"/>
          <w14:textFill>
            <w14:solidFill>
              <w14:schemeClr w14:val="tx1"/>
            </w14:solidFill>
          </w14:textFill>
        </w:rPr>
        <w:t xml:space="preserve">  市人民代表大会常务委员会审议地方性法规案时，提案人应当派人听取意见，回答询问。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第二十四条</w:t>
      </w:r>
      <w:r>
        <w:rPr>
          <w:rFonts w:hint="eastAsia" w:ascii="仿宋_GB2312" w:hAnsi="Times New Roman" w:eastAsia="仿宋_GB2312"/>
          <w:color w:val="000000" w:themeColor="text1"/>
          <w:sz w:val="32"/>
          <w:szCs w:val="32"/>
          <w14:textFill>
            <w14:solidFill>
              <w14:schemeClr w14:val="tx1"/>
            </w14:solidFill>
          </w14:textFill>
        </w:rPr>
        <w:t xml:space="preserve">  列入市人民代表大会常务委员会会议议程的地方性法规案，由有关的专门委员会召开全体会议进行审议，提出审议意见的报告。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有关的专门委员会审议地方性法规案时，可以邀请其他专门委员会的成员或者常务委员会工作机构的负责人列席会议，发表意见；根据需要，可以要求有关机关、组织派人说明情况。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第二十五条</w:t>
      </w:r>
      <w:r>
        <w:rPr>
          <w:rFonts w:hint="eastAsia" w:ascii="仿宋_GB2312" w:hAnsi="Times New Roman" w:eastAsia="仿宋_GB2312"/>
          <w:color w:val="000000" w:themeColor="text1"/>
          <w:sz w:val="32"/>
          <w:szCs w:val="32"/>
          <w14:textFill>
            <w14:solidFill>
              <w14:schemeClr w14:val="tx1"/>
            </w14:solidFill>
          </w14:textFill>
        </w:rPr>
        <w:t xml:space="preserve">  列入市人民代表大会常务委员会会议议程的地方性法规案，由法制委员会根据常务委员会组成人员、有关的专门委员会的审议意见和各方面提出的意见，召开全体会议对地方性法规案进行统一审议，提出修改情况的汇报或者审议结果的报告和法规草案修改稿，对重要的不同意见应当在修改情况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法制委员会审议地方性法规案时，应当邀请有关的专门委员会的成员列席会议，发表意见；根据需要，可以要求有关机关、组织派人说明情况。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第二十六条</w:t>
      </w:r>
      <w:r>
        <w:rPr>
          <w:rFonts w:hint="eastAsia" w:ascii="仿宋_GB2312" w:hAnsi="Times New Roman" w:eastAsia="仿宋_GB2312"/>
          <w:color w:val="000000" w:themeColor="text1"/>
          <w:sz w:val="32"/>
          <w:szCs w:val="32"/>
          <w14:textFill>
            <w14:solidFill>
              <w14:schemeClr w14:val="tx1"/>
            </w14:solidFill>
          </w14:textFill>
        </w:rPr>
        <w:t xml:space="preserve">  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第二十七条</w:t>
      </w:r>
      <w:r>
        <w:rPr>
          <w:rFonts w:hint="eastAsia" w:ascii="仿宋_GB2312" w:hAnsi="Times New Roman" w:eastAsia="仿宋_GB2312"/>
          <w:color w:val="000000" w:themeColor="text1"/>
          <w:sz w:val="32"/>
          <w:szCs w:val="32"/>
          <w14:textFill>
            <w14:solidFill>
              <w14:schemeClr w14:val="tx1"/>
            </w14:solidFill>
          </w14:textFill>
        </w:rPr>
        <w:t xml:space="preserve">  列入市人民代表大会常务委员会会议议程的地方性法规案，法制委员会、有关的专门委员会和常务委员会法制工作委员会应当就地方性法规案的有关问题调查研究，听取各方面的意见。听取意见可以采取座谈会、论证会、听证会、实地考察等形式。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地方性法规案中有关问题专业性较强，需要进行可行性评价的，应当召开论证会，听取有关专家、部门和人大代表等方面的意见。</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地方性法规案中有关问题存在重大意见分歧或者涉及利益关系重大调整，需要进行听证的，应当召开听证会，听取人大代表、基层和群体代表、相关部门、人民团体、专家学者和社会有关方面的意见。</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第二十八条</w:t>
      </w:r>
      <w:r>
        <w:rPr>
          <w:rFonts w:hint="eastAsia" w:ascii="仿宋_GB2312" w:hAnsi="Times New Roman" w:eastAsia="仿宋_GB2312"/>
          <w:color w:val="000000" w:themeColor="text1"/>
          <w:sz w:val="32"/>
          <w:szCs w:val="32"/>
          <w14:textFill>
            <w14:solidFill>
              <w14:schemeClr w14:val="tx1"/>
            </w14:solidFill>
          </w14:textFill>
        </w:rPr>
        <w:t xml:space="preserve">  在市人民代表大会常务委员会审议地方性法规案后，应当将法规草案及其起草、修改的说明等通过《郴州日报》、郴州人大网等媒介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第二十九条</w:t>
      </w:r>
      <w:r>
        <w:rPr>
          <w:rFonts w:hint="eastAsia" w:ascii="仿宋_GB2312" w:hAnsi="Times New Roman" w:eastAsia="仿宋_GB2312"/>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 拟提请市人民代表大会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第三十条</w:t>
      </w:r>
      <w:r>
        <w:rPr>
          <w:rFonts w:hint="eastAsia" w:ascii="仿宋_GB2312" w:hAnsi="Times New Roman" w:eastAsia="仿宋_GB2312"/>
          <w:color w:val="000000" w:themeColor="text1"/>
          <w:sz w:val="32"/>
          <w:szCs w:val="32"/>
          <w14:textFill>
            <w14:solidFill>
              <w14:schemeClr w14:val="tx1"/>
            </w14:solidFill>
          </w14:textFill>
        </w:rPr>
        <w:t xml:space="preserve">  列入市人民代表大会常务委员会会议议程的地方性法规案，在交付表决前，提案人要求撤回的，应当说明理由，经主任会议同意并向常务委员会报告，对该地方性法规案的审议即行终止。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第三十一条</w:t>
      </w:r>
      <w:r>
        <w:rPr>
          <w:rFonts w:hint="eastAsia" w:ascii="仿宋_GB2312" w:hAnsi="Times New Roman" w:eastAsia="仿宋_GB2312"/>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地方性法规案经三次市人民代表大会常务委员会会议审议后，仍有重大问题需要进一步研究的，由主任会议决定，可以暂不付表决，交法制委员会进一步审议。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第三十二条</w:t>
      </w:r>
      <w:r>
        <w:rPr>
          <w:rFonts w:hint="eastAsia" w:ascii="仿宋_GB2312" w:hAnsi="Times New Roman" w:eastAsia="仿宋_GB2312"/>
          <w:color w:val="000000" w:themeColor="text1"/>
          <w:sz w:val="32"/>
          <w:szCs w:val="32"/>
          <w14:textFill>
            <w14:solidFill>
              <w14:schemeClr w14:val="tx1"/>
            </w14:solidFill>
          </w14:textFill>
        </w:rPr>
        <w:t xml:space="preserve">  法规草案修改稿经市人民代表大会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第三十三条</w:t>
      </w:r>
      <w:r>
        <w:rPr>
          <w:rFonts w:hint="eastAsia" w:ascii="仿宋_GB2312" w:hAnsi="Times New Roman" w:eastAsia="仿宋_GB2312"/>
          <w:color w:val="000000" w:themeColor="text1"/>
          <w:sz w:val="32"/>
          <w:szCs w:val="32"/>
          <w14:textFill>
            <w14:solidFill>
              <w14:schemeClr w14:val="tx1"/>
            </w14:solidFill>
          </w14:textFill>
        </w:rPr>
        <w:t xml:space="preserve">  列入市人民代表大会常务委员会会议议程的地方性法规案，因各方面对制定该法规的必要性、可行性等重大问题存在较大意见分歧搁置审议满两年的，或者因暂不付表决经过两年没有再次列入常务委员会会议议程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hint="eastAsia" w:ascii="仿宋_GB2312" w:hAnsi="Times New Roman"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第四章  地方性法规的报批、公布和解释</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hint="eastAsia" w:ascii="仿宋_GB2312" w:hAnsi="Times New Roman"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第三十四条</w:t>
      </w:r>
      <w:r>
        <w:rPr>
          <w:rFonts w:hint="eastAsia" w:ascii="仿宋_GB2312" w:hAnsi="Times New Roman" w:eastAsia="仿宋_GB2312"/>
          <w:color w:val="000000" w:themeColor="text1"/>
          <w:sz w:val="32"/>
          <w:szCs w:val="32"/>
          <w14:textFill>
            <w14:solidFill>
              <w14:schemeClr w14:val="tx1"/>
            </w14:solidFill>
          </w14:textFill>
        </w:rPr>
        <w:t xml:space="preserve">  市人民代表大会及其常务委员会表决通过的地方性法规，应当自通过之日起三十日内由常务委员会报请省人民代表大会常务委员会批准，未经批准，不得施行。</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第三十五条</w:t>
      </w:r>
      <w:r>
        <w:rPr>
          <w:rFonts w:hint="eastAsia" w:ascii="仿宋_GB2312" w:hAnsi="Times New Roman" w:eastAsia="仿宋_GB2312"/>
          <w:color w:val="000000" w:themeColor="text1"/>
          <w:sz w:val="32"/>
          <w:szCs w:val="32"/>
          <w14:textFill>
            <w14:solidFill>
              <w14:schemeClr w14:val="tx1"/>
            </w14:solidFill>
          </w14:textFill>
        </w:rPr>
        <w:t xml:space="preserve">  报请批准的地方性法规在省人民代表大会常务委员会批准后三十日内，由市人民代表大会常务委员会发布公告予以公布，并在《郴州日报》上刊登公告和地方性法规全文。公告中应当载明该地方性法规的制定机关、通过和施行日期，并注明批准机关和批准时间。</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地方性法规公布后，应当在《郴州市人民代表大会常务委员会公报》和郴州人大网上全文刊登。在公报上刊登的地方性法规文本为标准文本。地方性法规被修改的，应当公布新的地方性法规文本。地方性法规被废止的，应当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地方性法规发布公告予以公布之日起十日内，市人民代表大会常务委员会应当将有关地方性法规标准文本和公告等书面报送省人民代表大会常务委员会。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第三十六条</w:t>
      </w:r>
      <w:r>
        <w:rPr>
          <w:rFonts w:hint="eastAsia" w:ascii="仿宋_GB2312" w:hAnsi="Times New Roman" w:eastAsia="仿宋_GB2312"/>
          <w:color w:val="000000" w:themeColor="text1"/>
          <w:sz w:val="32"/>
          <w:szCs w:val="32"/>
          <w14:textFill>
            <w14:solidFill>
              <w14:schemeClr w14:val="tx1"/>
            </w14:solidFill>
          </w14:textFill>
        </w:rPr>
        <w:t xml:space="preserve">  市人民代表大会及其常务委员会制定的地方性法规，其解释权属于常务委员会。</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xml:space="preserve">    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line="570" w:lineRule="exact"/>
        <w:ind w:firstLine="480" w:firstLineChars="15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0" w:lineRule="exact"/>
        <w:ind w:firstLine="480" w:firstLineChars="15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（二）地方性法规制定后出现新的情况，需要明确适用依据的。</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市人民政府、市中级人民法院、市人民检察院和市人民代表大会专门委员会以及各县（市、区）人民代表大会常务委员会可以向市人民代表大会常务委员会提出地方性法规解释要求。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市人民代表大会常务委员会对地方性法规的解释，与地方性法规具有同等效力。</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第三十七条</w:t>
      </w:r>
      <w:r>
        <w:rPr>
          <w:rFonts w:hint="eastAsia" w:ascii="仿宋_GB2312" w:hAnsi="Times New Roman" w:eastAsia="仿宋_GB2312"/>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 市人民代表大会常务委员会法制工作委员会研究拟订法规解释草案，由主任会议决定列入常务委员会会议议程。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法规解释草案经常务委员会会议审议，由常务委员会法制工作委员会根据常务委员会组成人员的审议意见进行修改，再由法制委员会统一审议，提出地方性法规解释草案表决稿。</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第三十八条</w:t>
      </w:r>
      <w:r>
        <w:rPr>
          <w:rFonts w:hint="eastAsia" w:ascii="仿宋_GB2312" w:hAnsi="Times New Roman" w:eastAsia="仿宋_GB2312"/>
          <w:color w:val="000000" w:themeColor="text1"/>
          <w:sz w:val="32"/>
          <w:szCs w:val="32"/>
          <w14:textFill>
            <w14:solidFill>
              <w14:schemeClr w14:val="tx1"/>
            </w14:solidFill>
          </w14:textFill>
        </w:rPr>
        <w:t xml:space="preserve">  法规解释草案表决稿由市人民代表大会常务委员会全体组成人员的过半数通过。法规解释作出后，应当自公布之日起三十日内报省人民代表大会常务委员会备案。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line="570" w:lineRule="exact"/>
        <w:ind w:firstLine="2880" w:firstLineChars="900"/>
        <w:textAlignment w:val="auto"/>
        <w:outlineLvl w:val="9"/>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2880" w:firstLineChars="900"/>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第五章  其他规定</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hint="eastAsia" w:ascii="仿宋_GB2312" w:hAnsi="Times New Roman"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第三十九条</w:t>
      </w:r>
      <w:r>
        <w:rPr>
          <w:rFonts w:hint="eastAsia" w:ascii="仿宋_GB2312" w:hAnsi="Times New Roman" w:eastAsia="仿宋_GB2312"/>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 市人民代表大会常务委员会应当编制年度立法计划，根据需要可以编制立法规划。立法计划和立法规划应当向社会公布。</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编制立法规划和立法计划，应当征求省人民代表大会常务委员会法制工作委员会的意见。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第四十条</w:t>
      </w:r>
      <w:r>
        <w:rPr>
          <w:rFonts w:hint="eastAsia" w:ascii="仿宋_GB2312" w:hAnsi="Times New Roman" w:eastAsia="仿宋_GB2312"/>
          <w:color w:val="000000" w:themeColor="text1"/>
          <w:sz w:val="32"/>
          <w:szCs w:val="32"/>
          <w14:textFill>
            <w14:solidFill>
              <w14:schemeClr w14:val="tx1"/>
            </w14:solidFill>
          </w14:textFill>
        </w:rPr>
        <w:t xml:space="preserve">  市人民代表大会常务委员会法制工作委员会根据各专门委员会、市人民政府法制工作机构以及有关方面的立法建议，统一研究、协调论证，提出立法规划草案和立法计划草案，提请主任会议确定。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立法规划和立法计划在执行过程中需要作适当调整的，由常务委员会法制工作委员会根据专门委员会和有关方面的建议提出方案，报请主任会议决定。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第四十一条</w:t>
      </w:r>
      <w:r>
        <w:rPr>
          <w:rFonts w:hint="eastAsia" w:ascii="仿宋_GB2312" w:hAnsi="Times New Roman" w:eastAsia="仿宋_GB2312"/>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 法规草案一般由提案人组织起草。</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xml:space="preserve">有关的专门委员会、常务委员会工作机构应当提前参与有关方面的法规草案起草工作；综合性、全局性、基础性的重要法规草案，可以由有关的专门委员会、常务委员会工作机构组织起草。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xml:space="preserve">专业性较强的法规草案，可以吸收相关领域专家参与起草工作，或者委托有关专家、教学科研单位、社会组织起草。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第四十二条</w:t>
      </w:r>
      <w:r>
        <w:rPr>
          <w:rFonts w:hint="eastAsia" w:ascii="仿宋_GB2312" w:hAnsi="Times New Roman" w:eastAsia="仿宋_GB2312"/>
          <w:color w:val="000000" w:themeColor="text1"/>
          <w:sz w:val="32"/>
          <w:szCs w:val="32"/>
          <w14:textFill>
            <w14:solidFill>
              <w14:schemeClr w14:val="tx1"/>
            </w14:solidFill>
          </w14:textFill>
        </w:rPr>
        <w:t xml:space="preserve">  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第四十三条</w:t>
      </w:r>
      <w:r>
        <w:rPr>
          <w:rFonts w:hint="eastAsia" w:ascii="仿宋_GB2312" w:hAnsi="Times New Roman" w:eastAsia="仿宋_GB2312"/>
          <w:color w:val="000000" w:themeColor="text1"/>
          <w:sz w:val="32"/>
          <w:szCs w:val="32"/>
          <w14:textFill>
            <w14:solidFill>
              <w14:schemeClr w14:val="tx1"/>
            </w14:solidFill>
          </w14:textFill>
        </w:rPr>
        <w:t xml:space="preserve">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第四十四条</w:t>
      </w:r>
      <w:r>
        <w:rPr>
          <w:rFonts w:hint="eastAsia" w:ascii="仿宋_GB2312" w:hAnsi="Times New Roman" w:eastAsia="仿宋_GB2312"/>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 交付市人民代表大会及其常务委员会全体会议表决未获通过的地方性法规案，如果提案人认为必须制定该地方性法规，可以按照本条例规定的程序重新提出，由主席团、主任会议决定是否列入会议议程。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第四十五条</w:t>
      </w:r>
      <w:r>
        <w:rPr>
          <w:rFonts w:hint="eastAsia" w:ascii="仿宋_GB2312" w:hAnsi="Times New Roman" w:eastAsia="仿宋_GB2312"/>
          <w:b/>
          <w:color w:val="000000" w:themeColor="text1"/>
          <w:sz w:val="32"/>
          <w:szCs w:val="32"/>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 xml:space="preserve"> 市人民代表大会及其常务委员会制定的地方性法规，在表决前应当报请省人民代表大会常务委员会法制工作委员会指导。</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第四十六条</w:t>
      </w:r>
      <w:r>
        <w:rPr>
          <w:rFonts w:hint="eastAsia" w:ascii="仿宋_GB2312" w:hAnsi="Times New Roman" w:eastAsia="仿宋_GB2312"/>
          <w:color w:val="000000" w:themeColor="text1"/>
          <w:sz w:val="32"/>
          <w:szCs w:val="32"/>
          <w14:textFill>
            <w14:solidFill>
              <w14:schemeClr w14:val="tx1"/>
            </w14:solidFill>
          </w14:textFill>
        </w:rPr>
        <w:t xml:space="preserve">  市人民代表大会及其常务委员会制定的地方性法规，在报请省人民代表大会常务委员会批准过程中，市人民代表大会常务委员会或者其授权的主任会议可以根据省人民代表大会常务委员会的审查意见，对地方性法规个别条文进行修改。</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第四十七条</w:t>
      </w:r>
      <w:r>
        <w:rPr>
          <w:rFonts w:hint="eastAsia" w:ascii="仿宋_GB2312" w:hAnsi="Times New Roman" w:eastAsia="仿宋_GB2312"/>
          <w:color w:val="000000" w:themeColor="text1"/>
          <w:sz w:val="32"/>
          <w:szCs w:val="32"/>
          <w14:textFill>
            <w14:solidFill>
              <w14:schemeClr w14:val="tx1"/>
            </w14:solidFill>
          </w14:textFill>
        </w:rPr>
        <w:t xml:space="preserve">  地方性法规的修改、废止程序，适用本条例的有关规定。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第四十八条</w:t>
      </w:r>
      <w:r>
        <w:rPr>
          <w:rFonts w:hint="eastAsia" w:ascii="仿宋_GB2312" w:hAnsi="Times New Roman" w:eastAsia="仿宋_GB2312"/>
          <w:color w:val="000000" w:themeColor="text1"/>
          <w:sz w:val="32"/>
          <w:szCs w:val="32"/>
          <w14:textFill>
            <w14:solidFill>
              <w14:schemeClr w14:val="tx1"/>
            </w14:solidFill>
          </w14:textFill>
        </w:rPr>
        <w:t xml:space="preserve">  地方性法规明确要求有关国家机关对专门事项作出配套规定的，有关国家机关应当自法规施行之日起一年内作出规定。法规另有规定的，从其规定。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有关国家机关未能在期限内作出配套规定的，应当向常务委员会说明情况。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第四十九条</w:t>
      </w:r>
      <w:r>
        <w:rPr>
          <w:rFonts w:hint="eastAsia" w:ascii="仿宋_GB2312" w:hAnsi="Times New Roman" w:eastAsia="仿宋_GB2312"/>
          <w:color w:val="000000" w:themeColor="text1"/>
          <w:sz w:val="32"/>
          <w:szCs w:val="32"/>
          <w14:textFill>
            <w14:solidFill>
              <w14:schemeClr w14:val="tx1"/>
            </w14:solidFill>
          </w14:textFill>
        </w:rPr>
        <w:t xml:space="preserve">  市人民代表大会有关的专门委员会、常务委员会法制工作委员会可以组织对有关法规或者法规中有关规定进行立法后评估。评估情况应当向常务委员会报告。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第五十条</w:t>
      </w:r>
      <w:r>
        <w:rPr>
          <w:rFonts w:hint="eastAsia" w:ascii="仿宋_GB2312" w:hAnsi="Times New Roman" w:eastAsia="仿宋_GB2312"/>
          <w:color w:val="000000" w:themeColor="text1"/>
          <w:sz w:val="32"/>
          <w:szCs w:val="32"/>
          <w14:textFill>
            <w14:solidFill>
              <w14:schemeClr w14:val="tx1"/>
            </w14:solidFill>
          </w14:textFill>
        </w:rPr>
        <w:t xml:space="preserve">  市人民代表大会常务委员会法制工作委员会可以对地方性法规有关具体问题的询问进行研究予以答复，并报常务委员会备案。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hint="eastAsia" w:ascii="仿宋_GB2312" w:hAnsi="Times New Roman"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第六章  附则</w:t>
      </w: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hint="eastAsia" w:ascii="仿宋_GB2312" w:hAnsi="Times New Roman"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outlineLvl w:val="9"/>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第五十一条</w:t>
      </w:r>
      <w:r>
        <w:rPr>
          <w:rFonts w:hint="eastAsia" w:ascii="仿宋_GB2312" w:hAnsi="Times New Roman" w:eastAsia="仿宋_GB2312"/>
          <w:color w:val="000000" w:themeColor="text1"/>
          <w:sz w:val="32"/>
          <w:szCs w:val="32"/>
          <w14:textFill>
            <w14:solidFill>
              <w14:schemeClr w14:val="tx1"/>
            </w14:solidFill>
          </w14:textFill>
        </w:rPr>
        <w:t xml:space="preserve">  本条例自2020年5月1日起施行。</w:t>
      </w:r>
    </w:p>
    <w:p>
      <w:pPr>
        <w:keepNext w:val="0"/>
        <w:keepLines w:val="0"/>
        <w:pageBreakBefore w:val="0"/>
        <w:widowControl w:val="0"/>
        <w:tabs>
          <w:tab w:val="right" w:pos="8306"/>
        </w:tabs>
        <w:kinsoku/>
        <w:wordWrap/>
        <w:overflowPunct/>
        <w:topLinePunct w:val="0"/>
        <w:autoSpaceDE/>
        <w:autoSpaceDN/>
        <w:bidi w:val="0"/>
        <w:adjustRightInd/>
        <w:snapToGrid/>
        <w:spacing w:line="570" w:lineRule="exact"/>
        <w:ind w:firstLine="420" w:firstLineChars="200"/>
        <w:textAlignment w:val="auto"/>
        <w:outlineLvl w:val="9"/>
        <w:rPr>
          <w:rFonts w:ascii="Times New Roman" w:hAnsi="Times New Roman" w:eastAsia="仿宋_GB2312"/>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textAlignment w:val="auto"/>
        <w:outlineLvl w:val="9"/>
        <w:rPr>
          <w:rFonts w:ascii="Times New Roman" w:hAnsi="Times New Roman"/>
          <w:color w:val="000000" w:themeColor="text1"/>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snapToGrid/>
        <w:spacing w:line="570" w:lineRule="exact"/>
        <w:jc w:val="both"/>
        <w:textAlignment w:val="auto"/>
        <w:outlineLvl w:val="9"/>
        <w:rPr>
          <w:rFonts w:ascii="仿宋_GB2312" w:hAnsi="仿宋_GB2312" w:eastAsia="仿宋_GB2312" w:cs="仿宋_GB2312"/>
          <w:color w:val="000000" w:themeColor="text1"/>
          <w:sz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swiss"/>
    <w:pitch w:val="default"/>
    <w:sig w:usb0="00000001" w:usb1="080E0000" w:usb2="00000000" w:usb3="00000000" w:csb0="00040000" w:csb1="00000000"/>
  </w:font>
  <w:font w:name="ˎ̥">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00007A87" w:usb1="80000000" w:usb2="00000008" w:usb3="00000000" w:csb0="400001FF" w:csb1="FFFF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仿宋">
    <w:altName w:val="仿宋_GB2312"/>
    <w:panose1 w:val="02010609060101010101"/>
    <w:charset w:val="86"/>
    <w:family w:val="swiss"/>
    <w:pitch w:val="default"/>
    <w:sig w:usb0="00000000" w:usb1="00000000" w:usb2="00000016" w:usb3="00000000" w:csb0="00040001"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仿宋_GB2312">
    <w:panose1 w:val="02010609030101010101"/>
    <w:charset w:val="86"/>
    <w:family w:val="decorative"/>
    <w:pitch w:val="default"/>
    <w:sig w:usb0="00000001" w:usb1="080E0000" w:usb2="00000000" w:usb3="00000000" w:csb0="00040000" w:csb1="00000000"/>
  </w:font>
  <w:font w:name="ˎ̥">
    <w:altName w:val="Times New Roman"/>
    <w:panose1 w:val="00000000000000000000"/>
    <w:charset w:val="00"/>
    <w:family w:val="swiss"/>
    <w:pitch w:val="default"/>
    <w:sig w:usb0="00000000" w:usb1="00000000" w:usb2="00000000" w:usb3="00000000" w:csb0="00040001" w:csb1="00000000"/>
  </w:font>
  <w:font w:name="Arial">
    <w:panose1 w:val="020B0604020202020204"/>
    <w:charset w:val="00"/>
    <w:family w:val="roman"/>
    <w:pitch w:val="default"/>
    <w:sig w:usb0="00007A87" w:usb1="80000000" w:usb2="00000008" w:usb3="00000000" w:csb0="400001FF" w:csb1="FFFF0000"/>
  </w:font>
  <w:font w:name="楷体_GB2312">
    <w:panose1 w:val="02010609030101010101"/>
    <w:charset w:val="86"/>
    <w:family w:val="decorative"/>
    <w:pitch w:val="default"/>
    <w:sig w:usb0="00000001" w:usb1="080E0000" w:usb2="00000000" w:usb3="00000000" w:csb0="0004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仿宋">
    <w:altName w:val="仿宋_GB2312"/>
    <w:panose1 w:val="02010609060101010101"/>
    <w:charset w:val="86"/>
    <w:family w:val="decorative"/>
    <w:pitch w:val="default"/>
    <w:sig w:usb0="00000000" w:usb1="00000000"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21307EB"/>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nhideWhenUsed/>
    <w:uiPriority w:val="99"/>
  </w:style>
  <w:style w:type="character" w:styleId="6">
    <w:name w:val="FollowedHyperlink"/>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9">
    <w:name w:val="页眉 字符"/>
    <w:link w:val="3"/>
    <w:uiPriority w:val="99"/>
    <w:rPr>
      <w:sz w:val="18"/>
      <w:szCs w:val="18"/>
    </w:rPr>
  </w:style>
  <w:style w:type="character" w:customStyle="1" w:styleId="10">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2020-04-22T09:12:47Z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