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rPr>
      </w:pPr>
      <w:r>
        <w:rPr>
          <w:rFonts w:hint="eastAsia" w:ascii="宋体" w:hAnsi="宋体" w:eastAsia="宋体" w:cs="宋体"/>
          <w:sz w:val="44"/>
          <w:szCs w:val="44"/>
        </w:rPr>
        <w:t>甘肃省城市房地产管理条例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2001年3月30日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省九届人大常委会第二十一次会议通过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2004年6月4日</w:t>
      </w:r>
      <w:r>
        <w:rPr>
          <w:rFonts w:hint="eastAsia" w:ascii="楷体_GB2312" w:hAnsi="楷体_GB2312" w:eastAsia="楷体_GB2312" w:cs="楷体_GB2312"/>
          <w:lang w:eastAsia="zh-CN"/>
        </w:rPr>
        <w:t>甘肃</w:t>
      </w:r>
      <w:r>
        <w:rPr>
          <w:rFonts w:hint="eastAsia" w:ascii="楷体_GB2312" w:hAnsi="楷体_GB2312" w:eastAsia="楷体_GB2312" w:cs="楷体_GB2312"/>
        </w:rPr>
        <w:t>省十届人大常委会第十次会议修正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促进城市房地产业健康发展，规范房地产市场，保障房地产权利人的合法权益，加强城市房地产管理，根据《中华人民共和国城市房地产管理法》和《城市房地产开发经营管理条例》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在本省城市规划区国有土地上，取得房地产开发用地的土地使用权，从事房地产开发、交易活动，实施房地产管理，应当遵守本条例。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在城市规划区以外从事房地产开发经营管理，参照本条例执行。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省人民政府建设行政主管部门负责全省城市房地产管理工作。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县级以上人民政府负责房地产开发、交易、管理的行政主管部门（以下简称房地产行政管理部门）按照其职责负责本行政区域内城市房地产开发、交易、管理工作。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县级以上人民政府土地管理部门依照有关法律、行政法规的规定，负责与房地产开发经营有关的土地管理工作。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县级以上人民政府其他有关部门按照各自的职责分工，依法做好城市房地产管理工作。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县级以上人民政府计划、建设、土地、财政、税务、物价等部门应当在各自职权范围内制定和落实优惠政策，扶持发展经济适用住房建设，改善城市中低收入家庭的居住条件。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城市人民政府和企业、事业单位应当组织城市廉租住房实施工作，向具有城市常住居民户口的最低收入家庭提供租金相对低廉的普通住房。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eastAsia="仿宋_GB2312" w:cs="仿宋_GB2312"/>
        </w:rPr>
        <w:t>房地产开发必须严格执行城市规划，按照经济效益、社会效益、环境效益相统一的原则，实行全面规划、合理布局、综合开发、配套建设。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rPr>
        <w:t>设立房地产开发企业，应当向工商行政管理部门申请设立登记。由工商行政管理部门核定名称并发放《企业登记申请书》，经县级以上建设行政主管部门在《企业登记申请书》上签署意见。工商行政管理部门对符合规定条件的，应予以登记，发给营业执照；对不符合规定条件的，不予以登记，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房地产开发企业领取营业执照后30日内，应当到登记机关所在地房地产行政管理部门备案，并按照国家和省建设行政管理部门的有关规定办理资质等级手续。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房地产开发企业资质实行年检制度。资质年检由省建设行政主管部门组织，县级以上房地产行政管理部门具体实施。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鼓励省内外私营企业和外资企业投资开发房地产业。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省外房地产开发企业进入本省从事房地产开发经营活动，应当到省建设行政主管部门办理登记备案手续。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外商投资设立的房地产开发企业，应当依照外商投资企业法律、行政法规的规定，办理有关手续。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房地产开发建设应当遵守建设程序，依法办理有关手续。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房地产开发应当按照有关土地、城市规划、建筑、环境保护等法律、法规的规定确定开发项目。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房地产开发项目立项后，应当按照批准的建设规划及项目的性质、规模、规划设计条件、开发期限、配套公用设施和绿地、文物保护、动迁补偿安置等内容进行开发建设，不得擅自改变。确需改变的，应当报原审批单位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地产开发项目竣工后，房地产开发企业应当按照有关规定，向项目所在地县级以上房地产行政管理部门提出综合或分期验收申请。房地产行政管理部门应当自接到申请之日起30日内，组织工程质量监督、规划、消防、人防等部门，按照国家规定的内容进行验收。经验收合格后，方可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房地产开发企业预售商品房，应当依法向所在地的市、县房地产行政管理部门申请预售登记，取得预售许可证，并在预售时向购买人出示。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房地产开发企业预售商品房所得款项，应当设专户存入银行，专款用于该工程建设，在支付和清偿该预售房屋的全部建设费用之前，不得挪作他用，并接受房地产行政管理部门的监督。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商品房预售、销售，当事人双方应当签订书面合同，应当使用省建设、工商行政管理部门监制的合同示范文本。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商品房销售面积由市、县房地产行政管理部门登记确权认定。当事人有异议的，可以向上一级房地产行政管理部门申请复核。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享受国家优惠政策的居民住宅价格，应当实行政府指导价或者政府定价。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房地产开发企业应当在商品房交付使用时，向购买人提供住宅质量保证书和住宅使用说明书，应当按照住宅质量保证书的约定，承担商品房保修责任。经工程质量监督单位核验，确属主体结构质量不合格的，购买人有权退房；给购买人造成损失的，房地产开发企业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商品房预购人可以将已购的未竣工的商品房转让。在转让时商品房预购人除与受让人签订转让合同外，还应当与受让人及预售人签订合同变更协议。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依法取得的国有土地使用权，经有关部门批准，可以作价入股，合资、合作开发经营房地产。合资、合作开发经营房地产的，应当按照国家有关规定办理房地产权属转移手续。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以出让方式取得土地使用权的，转让房地产时，应当符合下列条件：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（一）按照出让合同约定已经支付全部土地使用权出让金，并取得土地使用权证书；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（二）按照出让合同约定进行投资开发，属于房屋建设工程的，完成开发投资总额的百分之二十五以上，属于成片开发土地的，形成工业用地或者其他建设用地条件。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转让房地产时房屋已经建成的，还应当持有房屋所有权证书。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eastAsia="仿宋_GB2312" w:cs="仿宋_GB2312"/>
        </w:rPr>
        <w:t>已购买的公有住房和经济适用住房，按照国家和省有关规定，可以上市交易。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eastAsia="仿宋_GB2312" w:cs="仿宋_GB2312"/>
        </w:rPr>
        <w:t>下列房地产，不得转让：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（一）以出让方式取得土地使用权而不符合本条例第十六条规定条件的；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（二）司法机关和行政机关依法裁定，决定查封或者以其他形式限制房地产权利的；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（三）依法收回土地使用权的；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（四）共有房地产，未经其他共有人书面同意的；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（五）权属有争议的；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（六）未依法登记领取权属证书的；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（七）法律、行政法规规定禁止转让的其他情形。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实行房地产价格评估制度。因房地产交易、拆迁、拍卖、偿债、仲裁等需要确定房地产价格的，应当由房地产评估机构按规定程序和技术标准进行价格评估。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依法获得的房屋所有权和土地使用权可以设定抵押。房地产开发企业不得将已预售的商品房设定抵押；已建成的商品房设定抵押的，在抵押权存续期间，未经抵押权人书面同意并未告知购房人的不得销售。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房地产抵押，应当凭土地使用权证书、房屋所有权证书办理。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房地产抵押，抵押人和抵押权人应当签订书面抵押合同，并按照有关规定办理抵押登记。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房屋租赁，出租人和承租人应当签订书面租赁合同，并到市、县房地产行政管理部门登记备案。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房屋租赁期限内，出租人转让房屋所有权的，房屋受让人应当继续履行原租赁合同的约定。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出租人在租赁期限内死亡的，其继承人应当继续履行原租赁合同。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住宅用房承租人在租赁期限内死亡的，其共同居住的家庭成员可继续承租。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有下列情形之一的房屋不得出租：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（一）未依法取得房屋所有权证的；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（二）司法机关和行政机关依法裁定，决定查封或以其他形式限制房地产权利的；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（三）共有房屋未取得共有人同意的；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（四）权属有争议的；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（五）不符合安全规定的；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（六）已抵押而未经抵押权人同意的；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（七）法律、法规及其他规定禁止出租的。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设立房地产价格评估等中介服务机构，必须具备规定的条件，向工商行政管理部门申请设立登记，领取营业执照。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实行土地使用权和房屋所有权登记发证制度。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以出让或者划拨方式取得土地使用权，应当向县级以上地方人民政府土地管理部门申请登记，经县级以上地方人民政府土地管理部门核实，由同级人民政府颁发土地使用权证书。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依法取得的房地产开发用地上建成房屋的，应当凭土地使用权证书及有关文件向市、县房地产行政管理部门申请登记，由市、县房地产行政管理部门在10个工作日内核发建设部监制、省建设行政管理部门统一印制的房屋所有权证书。不符合登记条件的，不予以发证，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新建房屋，权利人应当在房屋竣工后90日内向市、县房地产行政管理部门申请房屋所有权初始登记。初始登记应当提交国家和省人民政府规定的有关证明文件。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预售、销售商品房的当事人应当于商品房交付使用之日起90日内，办理房屋所有权登记和土地使用权变更手续。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房地产开发企业应当协助商品房购买人办理土地使用权变更和房屋所有权登记手续，并提供必要的证明文件。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房屋因买卖、交换、赠与、继承、划拨、转让、分割、合并等原因致使其权属发生转移的，当事人应当自事实发生之日起30日内申请办理房屋权属转移登记。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申请转移登记应当提交房屋权属证书以及相关的合同、协议、证明等文件。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权利人名称变更和房屋现状发生下列情形之一的，应当自事实发生之日起30日内申请变更登记：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（一）房屋坐落的街道、门牌或者房屋名称发生变更的；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（二）房屋面积增加或者减少的；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（三）房屋翻建的；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申请变更登记，应当提交房屋权属证书以及相关的证明文件。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在住宅小区积极推行社会化、专业化、市场化的物业管理体制，强化服务功能。物业管理的具体办法另行制定。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房屋使用人不得随意改变房屋的总体设计功能、公共设施使用功能及房屋结构，确需要改变的，应当符合城市规划要求和结构安全标准。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住宅小区内按照规划建设的公共建筑和公共设施，不得改变使用性质。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商品住房和公有住房出售后应当按规定建立住房维修基金，专项用于共用部位、共用设施设备的大修、更新、改造，不得挪作他用。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维修基金收取与使用管理的具体办法由省建设、财政等有关部门制订，并经省人民政府批准后实施。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房屋所有人或物业管理企业应当加强对房屋及附属设施设备的管理，及时修缮，保证居住安全和正常使用。因修缮不及时，造成安全事故和妨碍正常使用，使他人受到损失的，应当依法承担赔偿责任。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有下列情形之一的，房屋所有人或使用人应当及时向房地产行政管理部门申请房屋安全鉴定：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（一）出现不安全因素的；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（二）达到规定的使用年限或者达到前次安全鉴定确定的使用期限的；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（三）装修改造涉及房屋结构改变和荷载增加的；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（四）改变房屋用途危及安全的。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经房地产行政管理部门确认为危房的，房屋所有人或使用人应当按照鉴定中提出的要求及时治理或拆除。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违反本条例规定的下列行为，由省建设行政主管部门或者县级以上房地产行政管理部门及工商行政管理部门，按照各自职责，依照有关法律、法规的规定给予处罚：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（一）未取得营业执照或资质等级证书、超越资质等级从事房地产开发经营的；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（二）未取得营业执照和资质证书，擅自从事房地产中介业务的；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（三）未按规定进行房地产开发企业资质年检的；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四</w:t>
      </w:r>
      <w:r>
        <w:rPr>
          <w:rFonts w:hint="eastAsia" w:ascii="仿宋_GB2312" w:hAnsi="仿宋_GB2312" w:eastAsia="仿宋_GB2312" w:cs="仿宋_GB2312"/>
        </w:rPr>
        <w:t>）将未验收或验收不合格的房屋交付使用的；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五</w:t>
      </w:r>
      <w:r>
        <w:rPr>
          <w:rFonts w:hint="eastAsia" w:ascii="仿宋_GB2312" w:hAnsi="仿宋_GB2312" w:eastAsia="仿宋_GB2312" w:cs="仿宋_GB2312"/>
        </w:rPr>
        <w:t>）擅自预售商品房的；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六</w:t>
      </w:r>
      <w:r>
        <w:rPr>
          <w:rFonts w:hint="eastAsia" w:ascii="仿宋_GB2312" w:hAnsi="仿宋_GB2312" w:eastAsia="仿宋_GB2312" w:cs="仿宋_GB2312"/>
        </w:rPr>
        <w:t>）以虚报、瞒报房屋权属情况等非法手段获得房屋权属证书或非法印制、伪造房屋权属证书的；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（七）未按规定时限进行房屋权属登记的；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（八）未办理房屋租赁登记备案手续，擅自出租或转租房屋的；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（九）擅自改变住宅小区内公共建筑和公共设施使用性质的。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关行政管理部门及其工作人员违反本条例规定，有下列行为之一的，由其上级主管部门或本级人民政府责令改正，情节严重的，对其主管人员或直接责任人员依法给予行政处分；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行使登记注册、审查核准、审批、年检、监督检查等管理职责时，非法提高标准或者增设条件，或者采取推诿、拖延、阻挠做法的；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越权核发资质证书、执业资格证书和商品房预售许可证的；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滥用职权，违反城市规划审批房地产开发项目的；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在房地产开发项目竣工验收中弄虚作假的；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在房地产开发、交易、管理中，利用职权索贿受贿的。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当事人对行政管理部门作出的具体行政行为不服的，可以依照《中华人民共和国行政复议法》和《中华人民共和国行政诉讼法》的规定申请行政复议或者提起行政诉讼。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本条例自2001年7月1日起施行。</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2B00BC"/>
    <w:rsid w:val="017A7192"/>
    <w:rsid w:val="01EE0C0B"/>
    <w:rsid w:val="039F22DD"/>
    <w:rsid w:val="06B237D5"/>
    <w:rsid w:val="08AF76D4"/>
    <w:rsid w:val="093E0652"/>
    <w:rsid w:val="097D298D"/>
    <w:rsid w:val="09AF5A8A"/>
    <w:rsid w:val="09D210F6"/>
    <w:rsid w:val="0A9C3CC5"/>
    <w:rsid w:val="0B8E3F2A"/>
    <w:rsid w:val="10554A16"/>
    <w:rsid w:val="112F3E9A"/>
    <w:rsid w:val="12416BB9"/>
    <w:rsid w:val="138D1E46"/>
    <w:rsid w:val="16463171"/>
    <w:rsid w:val="18AB5F26"/>
    <w:rsid w:val="1C365D82"/>
    <w:rsid w:val="1C695E19"/>
    <w:rsid w:val="1C7207DF"/>
    <w:rsid w:val="21140966"/>
    <w:rsid w:val="21405F3F"/>
    <w:rsid w:val="24393D9B"/>
    <w:rsid w:val="254B1300"/>
    <w:rsid w:val="2599366E"/>
    <w:rsid w:val="25FE1B2D"/>
    <w:rsid w:val="27C8407B"/>
    <w:rsid w:val="29641821"/>
    <w:rsid w:val="296A3B27"/>
    <w:rsid w:val="2A781FF1"/>
    <w:rsid w:val="2BBA5307"/>
    <w:rsid w:val="2CBD2157"/>
    <w:rsid w:val="308B114D"/>
    <w:rsid w:val="30BD182B"/>
    <w:rsid w:val="31F37AA3"/>
    <w:rsid w:val="324C4A97"/>
    <w:rsid w:val="33E16D25"/>
    <w:rsid w:val="34887889"/>
    <w:rsid w:val="359B3C3E"/>
    <w:rsid w:val="373C2B69"/>
    <w:rsid w:val="3CFB3CD6"/>
    <w:rsid w:val="3E501754"/>
    <w:rsid w:val="3EDC350D"/>
    <w:rsid w:val="4220048D"/>
    <w:rsid w:val="42AA0492"/>
    <w:rsid w:val="453B01FF"/>
    <w:rsid w:val="458F6BBA"/>
    <w:rsid w:val="45B211ED"/>
    <w:rsid w:val="48AF66DE"/>
    <w:rsid w:val="49186F26"/>
    <w:rsid w:val="49AE1E4A"/>
    <w:rsid w:val="4B0559C3"/>
    <w:rsid w:val="4B924F7F"/>
    <w:rsid w:val="4BBF0A7E"/>
    <w:rsid w:val="4C18317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68602A6"/>
    <w:rsid w:val="579539AF"/>
    <w:rsid w:val="59826833"/>
    <w:rsid w:val="5A155CB1"/>
    <w:rsid w:val="5B802B5D"/>
    <w:rsid w:val="5CCD29BF"/>
    <w:rsid w:val="5EB44E27"/>
    <w:rsid w:val="607E06A1"/>
    <w:rsid w:val="60DC4A94"/>
    <w:rsid w:val="612F1579"/>
    <w:rsid w:val="61722BDF"/>
    <w:rsid w:val="61B47B51"/>
    <w:rsid w:val="61D12C3D"/>
    <w:rsid w:val="62B275B3"/>
    <w:rsid w:val="633C0AB9"/>
    <w:rsid w:val="64A616A7"/>
    <w:rsid w:val="64ED3A56"/>
    <w:rsid w:val="653604ED"/>
    <w:rsid w:val="65AF5C64"/>
    <w:rsid w:val="65E254D8"/>
    <w:rsid w:val="66850F0F"/>
    <w:rsid w:val="674D2598"/>
    <w:rsid w:val="68C71E2D"/>
    <w:rsid w:val="68E20BB9"/>
    <w:rsid w:val="69D73C20"/>
    <w:rsid w:val="6A891EB9"/>
    <w:rsid w:val="6C184A92"/>
    <w:rsid w:val="6C4C3539"/>
    <w:rsid w:val="6F4010A8"/>
    <w:rsid w:val="6FC23568"/>
    <w:rsid w:val="75D3130E"/>
    <w:rsid w:val="76312F4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78&#29976;&#32899;&#30465;&#22478;&#24066;&#25151;&#22320;&#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2017-02-20T02:26:21Z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