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《中华人民共和国防沙治沙法》办法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2002年12月7日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九届人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bookmarkStart w:id="0" w:name="_GoBack"/>
      <w:bookmarkEnd w:id="0"/>
      <w:r>
        <w:rPr>
          <w:rFonts w:hint="eastAsia" w:ascii="楷体_GB2312" w:hAnsi="楷体_GB2312" w:eastAsia="楷体_GB2312" w:cs="楷体_GB2312"/>
          <w:lang w:eastAsia="zh-CN"/>
        </w:rPr>
        <w:t>员</w:t>
      </w:r>
      <w:r>
        <w:rPr>
          <w:rFonts w:hint="eastAsia" w:ascii="楷体_GB2312" w:hAnsi="楷体_GB2312" w:eastAsia="楷体_GB2312" w:cs="楷体_GB2312"/>
        </w:rPr>
        <w:t>会第三十一次会议通过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2013年11月29日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十二届</w:t>
      </w:r>
      <w:r>
        <w:rPr>
          <w:rFonts w:hint="eastAsia" w:ascii="楷体_GB2312" w:hAnsi="楷体_GB2312" w:eastAsia="楷体_GB2312" w:cs="楷体_GB2312"/>
          <w:lang w:eastAsia="zh-CN"/>
        </w:rPr>
        <w:t>人民代表大会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会第六次会议</w:t>
      </w:r>
      <w:r>
        <w:rPr>
          <w:rFonts w:hint="eastAsia" w:ascii="楷体_GB2312" w:hAnsi="楷体_GB2312" w:eastAsia="楷体_GB2312"/>
        </w:rPr>
        <w:t>修正</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为预防土地沙化，治理沙化土地，维护生态安全，促进经济和社会的可持续发展，根据《中华人民共和国防沙治沙法》，结合本省实际，制定本办法。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凡在本省行政区域内从事土地沙化的预防、沙化土地的治理和开发利用活动的，均适用本办法。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本省沙化土地和土地沙化的范围，包括防沙治沙规划中确定的沙化土地，以及监测发现有明显沙化趋势的土地。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将防沙治沙纳入国民经济和社会发展计划，制定中长期规划和年度计划，实行政府行政领导防沙治沙任期目标责任考核奖惩制度，并每年向同级人民代表大会及其常务委员会报告防沙治沙工作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在省人民政府领导下，省林业行政主管部门负责全省的防沙治沙工作，其所属的防沙治沙管理机构负责本办法的具体实施。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市（州）、县（市、区）人民政府及其林业行政主管部门负责本行政区域内的防沙治沙工作。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县级以上人民政府农牧、水利、国土资源、环境保护等行政主管部门和气象主管机构，按照各自的职责，密切配合，共同做好防沙治沙工作。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防沙治沙工作应当统一规划、分步实施，以防为主、防治结合，谁开发、谁保护，谁治理、谁受益。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各级人民政府应当组织、动员全社会力量，按规划开展全民治沙活动，逐步改善沙区生态环境。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在防沙治沙工作及其科学研究、技术推广中成绩突出的单位和个人，各级人民政府应当给予表彰和奖励；对有突出贡献的，应当给予重奖。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省林业行政主管部门依据全国防沙治沙规划，结合本省实际，会同有关部门编制防沙治沙规划，经省人民政府审核，报国务院或者国务院指定的有关部门批准后实施。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县级以上林业行政主管部门依据上一级防沙治沙规划，结合本地实际，编制本行政区域防沙治沙规划，经同级人民政府审核，报上一级人民政府批准后组织实施。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防沙治沙规划未经原批准机关批准，任何单位和个人不得擅自改变。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在沙化土地上的典型自然景观、沙生植被及珍稀濒危野生动物集中分布或者具有特殊保护价值的区域，县级以上人民政府应当建立自然保护区，加强保护与管理。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沙化土地分为封禁保护区、预防保护区和治理利用区。由县级以上人民政府明令公告。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封禁保护区是指本省境内腾格里、巴丹吉林、库姆塔格原生沙漠；预防保护区是指戈壁、风蚀劣地、固定沙地、固定沙丘；治理利用区是指风沙口，流动沙地、沙丘，半固定沙地、沙丘，已沙化的和有明显沙化趋势的土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在封禁保护区内，严禁一切破坏植被的活动。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在封禁保护区内，确需进行铁路、公路等重点工程建设的，应当经省人民政府审核，报国务院或者国务院指定的部门同意。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在预防保护区内，禁止砍挖林草植被及放牧、开垦、采矿、挖沙、铲芒硝、烧蓬灰等破坏植被的活动。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在预防保护区内，禁止安置移民。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在预防保护区内从事开发建设活动的，应当提交有防沙治沙内容的生态环境影响报告，按国家有关规定报批。开发建设项目中应当有防沙治沙方案，并将治理资金列入项目预算，与主体工程同步实施，并由县级以上林业行政主管部门负责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在治理利用区内，禁止砍挖灌木、药材及其他固沙植物。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治理利用区所在地人民政府应当按照防沙治沙规划，组织有关部门、单位和个人，采取人工、飞播、封沙（滩）等措施造林育草，重点治理，增加植被；也可以将沙化土地治理经营权转让给公民、法人和国内外其它组织，进行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城镇、村庄、厂矿、部队营区、国防工业基地、农牧渔场经营区、铁路、公路、水库周围的沙化土地，实行单位治理责任制，分别由责任单位负责，按照县级以上人民政府下达的治理责任书进行治理。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各级人民政府鼓励单位和个人，以捐资、投劳、参股、合作等各种形式开展公益性治沙活动；各级林业行政主管部门应当提供治理地点、林木种苗和技术指导；有关部门和单位应当减免相关费用。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从事公益性治沙的单位和个人，应当按照县级以上林业行政主管部门或者有关主管部门的技术要求进行治理。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从事营利性治沙的单位和个人，应当依法取得沙化土地使用权，并签订治理协议，按照治理方案进行治理。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治理任务完成后，由县级以上林业行政主管部门组织验收，验收合格的，县级以上人民政府发给沙化土地治理合格证；验收不合格的应当继续治理。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取得沙化土地治理合格证的，可以自主经营、开发利用，依法继承、转让和抵押，任何单位和个人不得侵犯其合法权益。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沙化土地治理后被划为自然保护区或者生态公益林的，县级以上人民政府应当组织评估，给治理者予以经济补偿。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林业行政主管部门应当在主要风沙口、沙尘暴策源地、重点监测区布设监测站点，对沙化土地的类型面积、分布变化、发育发展、危害威胁等进行动态监测，每年向同级人民政府及上一级林业行政主管部门报告监测结果；发现土地有沙化趋势或者沙化程度加重的，应当及时报告同级人民政府。收到报告的人民政府应当采取有效措施，制止导致土地沙化的行为，并组织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气象主管机构应当对沙尘暴天气进行监测，发现异常天气征兆时，应当及时报告当地人民政府。收到报告的人民政府应当采取预防措施，必要时公布灾情预报，并组织林业、农牧、水利等有关部门采取应急措施，避免或者减轻风沙危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按照防沙治沙规划，在本级财政预算中安排防沙治沙专项资金，并根据国民经济发展速度，逐年有计划地增加资金投入。在安排扶贫、水利、道路、矿产、能源、农业综合开发等项目中应当设立防沙治沙子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凡用于防沙治沙工程建设的政府无偿投入、财政有偿资金、贷款、国际间援助、国内外社会团体和个人捐赠及各行业投入的资金，必须专款专用，任何单位和个人不得截留、挪用。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治理沙化土地，从事林果业、养殖业、农林产品加工业和旅游业等产业的单位和个人，按照有关规定享受资金补助、财政贴息、税费减免等政策优惠。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及流域管理机构应当加强流域和区域水资源的统一管理，坚持经济效益、社会效益和生态效益相结合的原则，上中下游综合平衡，地表地下统筹兼顾，按照防沙治沙规划，合理调配生态用水，防止因地下水和河流上游水资源的过度开发利用，导致植被枯萎死亡和土地沙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严禁超采、超用水资源。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县级以上水行政主管部门应当建立沙化土地所在地水资源监测体系，动态监测水量和水质变化，及时采取措施，调剂资源余缺，确保水资源高效永续利用。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有计划推广应用各种节水技术措施，使用先进高效的节水设备设施，实施水资源集约化经营，大幅度调减农业用水的净灌溉定额，以水定地，节约用水，提高水资源利用率，维护沙化土地区域生态系统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各级人民政府应当加强牧草资源管理，依据当地牧草资源数量以及载畜能力，统一规划，以草定畜，核定牲畜总量。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各级人民政府牧业行政主管部门应当重点组织建设人工草场，大力发展舍饲和圈养；保护草原植被，实行轮封轮牧；禁止超载滥牧，防治草原虫害、鼠害，防止草原退化和草地沙化。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各级人民政府应当禁止一切乱垦沙荒地行为，保护沙区生态环境；已经开垦并对生态产生不良影响的，应当纳入当地退耕还林还草规划，组织退耕还林还草。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林业行政主管部门不得批准采伐防风固沙林带、林网以及林木和固沙植被；防治林木病虫害等确需进行抚育更新的，必须在其附近形成接替林网和林带，报经省林业行政主管部门验收后依照有关规定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支持防沙治沙科学研究和技术推广工作，发挥科研单位和技术人员的骨干作用，培养防沙治沙专业技术人员，鼓励开展技术承包、技术培训、技术入股和技术推广等多种形式的技术服务活动，提高防沙治沙的科学技术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违反本办法第十条第一款、第十一条第一款、第十二条第一款规定，破坏沙化土地植被的，由县级以上林业行政主管部门责令停止违法行为；有违法所得的，没收违法所得；构成犯罪的，依法追究刑事责任。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办法第十五条第一款、第二款规定，未按照治理方案进行治理或者经验收不合格又不按照要求继续治理的，由县级以上林业行政主管部门责令停止违法行为，限期改正，可以并处相当于治理费用一倍以上三倍以下的罚款；造成土地沙化加重的，可以并处每公顷5000元以上5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违反本办法第十五条第三款规定，擅自在他人的治理范围内从事治理或者开发活动的，由县级以上林业行政主管部门责令停止违法行为；给治理者造成损失的，应当赔偿损失。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国家工作人员、防沙治沙管理人员滥用职权、玩忽职守、徇私舞弊，有下列行为之一的，由监察机关或者上级行政主管部门依法给予行政处分；造成损失的，应当承担赔偿责任；构成犯罪的，依法追究刑事责任：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（一）擅自改变防沙治沙规划的；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（二）违反国家规定，擅自批准在沙化土地封禁保护区进行重点工程建设的；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（三）发现土地发生沙化或者沙化程度加重不及时报告的，或者收到报告后不责成有关行政主管部门采取措施的；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（四）截留、挪用防沙治沙资金的；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（五）批准超采、超用水资源，乱开滥垦沙荒地，采伐防风固沙林带、林网以及林木和固沙植被的。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本办法自2003年3月1日起施行。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Stencil Std">
    <w:panose1 w:val="0402090408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kton Pro">
    <w:panose1 w:val="020F0603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2003" w:usb1="80000000" w:usb2="00000008" w:usb3="00000000" w:csb0="00000041" w:csb1="20080000"/>
  </w:font>
  <w:font w:name="Trajan Pro">
    <w:panose1 w:val="02020502050506020301"/>
    <w:charset w:val="00"/>
    <w:family w:val="auto"/>
    <w:pitch w:val="default"/>
    <w:sig w:usb0="00000007" w:usb1="00000000" w:usb2="00000000" w:usb3="00000000" w:csb0="20000093" w:csb1="0000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鼎CS中等线">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宋">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39F22DD"/>
    <w:rsid w:val="03DE52C4"/>
    <w:rsid w:val="0401644A"/>
    <w:rsid w:val="06B237D5"/>
    <w:rsid w:val="08AF76D4"/>
    <w:rsid w:val="093E0652"/>
    <w:rsid w:val="097D298D"/>
    <w:rsid w:val="09AF5A8A"/>
    <w:rsid w:val="09BD0722"/>
    <w:rsid w:val="09D210F6"/>
    <w:rsid w:val="0A9C3CC5"/>
    <w:rsid w:val="0B8E3F2A"/>
    <w:rsid w:val="0ED86262"/>
    <w:rsid w:val="10554A16"/>
    <w:rsid w:val="112F3E9A"/>
    <w:rsid w:val="12416BB9"/>
    <w:rsid w:val="15F563BF"/>
    <w:rsid w:val="16463171"/>
    <w:rsid w:val="180E6859"/>
    <w:rsid w:val="18AB5F26"/>
    <w:rsid w:val="19825F2F"/>
    <w:rsid w:val="1C365D82"/>
    <w:rsid w:val="1C695E19"/>
    <w:rsid w:val="1C7207DF"/>
    <w:rsid w:val="1D3D4E80"/>
    <w:rsid w:val="21140966"/>
    <w:rsid w:val="21405F3F"/>
    <w:rsid w:val="24393D9B"/>
    <w:rsid w:val="254B1300"/>
    <w:rsid w:val="2599366E"/>
    <w:rsid w:val="25FE1B2D"/>
    <w:rsid w:val="26D17200"/>
    <w:rsid w:val="27C8407B"/>
    <w:rsid w:val="28084D60"/>
    <w:rsid w:val="289479EC"/>
    <w:rsid w:val="29641821"/>
    <w:rsid w:val="296A3B27"/>
    <w:rsid w:val="2A781FF1"/>
    <w:rsid w:val="2BBA5307"/>
    <w:rsid w:val="2CBD2157"/>
    <w:rsid w:val="2DB17987"/>
    <w:rsid w:val="308B114D"/>
    <w:rsid w:val="30BD182B"/>
    <w:rsid w:val="31F37AA3"/>
    <w:rsid w:val="324C4A97"/>
    <w:rsid w:val="32AD26D1"/>
    <w:rsid w:val="32D631BD"/>
    <w:rsid w:val="33E16D25"/>
    <w:rsid w:val="34887889"/>
    <w:rsid w:val="359B3C3E"/>
    <w:rsid w:val="373C2B69"/>
    <w:rsid w:val="37903790"/>
    <w:rsid w:val="3CFB3CD6"/>
    <w:rsid w:val="3E501754"/>
    <w:rsid w:val="3EDC350D"/>
    <w:rsid w:val="40A20255"/>
    <w:rsid w:val="4220048D"/>
    <w:rsid w:val="42AA0492"/>
    <w:rsid w:val="4446012B"/>
    <w:rsid w:val="453B01FF"/>
    <w:rsid w:val="458F6BBA"/>
    <w:rsid w:val="45B211ED"/>
    <w:rsid w:val="46DB04A9"/>
    <w:rsid w:val="48AF66DE"/>
    <w:rsid w:val="49AE1E4A"/>
    <w:rsid w:val="4B0559C3"/>
    <w:rsid w:val="4B924F7F"/>
    <w:rsid w:val="4BBF0A7E"/>
    <w:rsid w:val="4C183170"/>
    <w:rsid w:val="4D1E603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5B71A97"/>
    <w:rsid w:val="568602A6"/>
    <w:rsid w:val="579539AF"/>
    <w:rsid w:val="579F5F26"/>
    <w:rsid w:val="59761820"/>
    <w:rsid w:val="59826833"/>
    <w:rsid w:val="5A155CB1"/>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42B7999"/>
    <w:rsid w:val="64A616A7"/>
    <w:rsid w:val="64C07C95"/>
    <w:rsid w:val="64ED3A56"/>
    <w:rsid w:val="653604ED"/>
    <w:rsid w:val="65AF5C64"/>
    <w:rsid w:val="65E254D8"/>
    <w:rsid w:val="667456B6"/>
    <w:rsid w:val="66850F0F"/>
    <w:rsid w:val="674D2598"/>
    <w:rsid w:val="68C71E2D"/>
    <w:rsid w:val="68E20BB9"/>
    <w:rsid w:val="68EE56C8"/>
    <w:rsid w:val="69AE121E"/>
    <w:rsid w:val="69D73C20"/>
    <w:rsid w:val="6A891EB9"/>
    <w:rsid w:val="6C184A92"/>
    <w:rsid w:val="6C4C3539"/>
    <w:rsid w:val="6F4010A8"/>
    <w:rsid w:val="6FC23568"/>
    <w:rsid w:val="72196E0C"/>
    <w:rsid w:val="75D3130E"/>
    <w:rsid w:val="76312F42"/>
    <w:rsid w:val="77205FEF"/>
    <w:rsid w:val="77D91511"/>
    <w:rsid w:val="78835463"/>
    <w:rsid w:val="7CAA1176"/>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86&#29976;&#32899;&#30465;&#23454;&#26045;&#12298;&#20013;&#21326;&#20154;&#27665;&#20849;&#21644;&#22269;&#38450;&#27801;&#27835;&#27801;&#27861;&#12299;&#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2017-04-21T08:54:41Z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