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djustRightInd/>
        <w:snapToGrid/>
        <w:spacing w:line="576" w:lineRule="exact"/>
        <w:ind w:left="0" w:leftChars="0" w:right="0" w:firstLine="0" w:firstLineChars="0"/>
        <w:jc w:val="center"/>
        <w:textAlignment w:val="auto"/>
        <w:outlineLvl w:val="9"/>
        <w:rPr>
          <w:rFonts w:hint="eastAsia" w:ascii="宋体" w:hAnsi="宋体" w:eastAsia="宋体"/>
          <w:sz w:val="44"/>
        </w:rPr>
      </w:pPr>
      <w:bookmarkStart w:id="0" w:name="_GoBack"/>
      <w:bookmarkEnd w:id="0"/>
      <w:r>
        <w:rPr>
          <w:rFonts w:hint="eastAsia" w:ascii="宋体" w:hAnsi="宋体" w:eastAsia="宋体"/>
          <w:sz w:val="44"/>
        </w:rPr>
        <w:t>甘肃省水路交通管理条例</w:t>
      </w:r>
    </w:p>
    <w:p>
      <w:pPr>
        <w:widowControl w:val="0"/>
        <w:adjustRightInd/>
        <w:snapToGrid/>
        <w:spacing w:line="576" w:lineRule="exact"/>
        <w:ind w:left="0" w:leftChars="0" w:right="0" w:firstLine="0" w:firstLineChars="0"/>
        <w:jc w:val="center"/>
        <w:textAlignment w:val="auto"/>
        <w:outlineLvl w:val="9"/>
        <w:rPr>
          <w:rFonts w:hint="eastAsia" w:ascii="宋体" w:hAnsi="宋体" w:eastAsia="宋体"/>
          <w:sz w:val="44"/>
        </w:rPr>
      </w:pPr>
    </w:p>
    <w:p>
      <w:pPr>
        <w:widowControl w:val="0"/>
        <w:adjustRightInd/>
        <w:snapToGrid/>
        <w:spacing w:line="576" w:lineRule="exact"/>
        <w:ind w:leftChars="200" w:rightChars="164"/>
        <w:textAlignment w:val="auto"/>
        <w:outlineLvl w:val="9"/>
        <w:rPr>
          <w:rFonts w:hint="eastAsia"/>
        </w:rPr>
      </w:pPr>
      <w:r>
        <w:rPr>
          <w:rFonts w:hint="eastAsia" w:ascii="楷体_GB2312" w:hAnsi="楷体_GB2312" w:eastAsia="楷体_GB2312"/>
        </w:rPr>
        <w:t>（1998年9月28日甘肃省第九届人民代表大会常务委员会第六次会议通过</w:t>
      </w:r>
      <w:r>
        <w:rPr>
          <w:rFonts w:hint="eastAsia" w:ascii="楷体_GB2312" w:hAnsi="楷体_GB2312" w:eastAsia="楷体_GB2312"/>
          <w:lang w:eastAsia="zh-CN"/>
        </w:rPr>
        <w:t xml:space="preserve">  </w:t>
      </w:r>
      <w:r>
        <w:rPr>
          <w:rFonts w:hint="eastAsia" w:ascii="楷体_GB2312" w:hAnsi="楷体_GB2312" w:eastAsia="楷体_GB2312"/>
        </w:rPr>
        <w:t>2004年6月4日甘肃省第十届人民代表大会常务委员会第十次会议第一次修正</w:t>
      </w:r>
      <w:r>
        <w:rPr>
          <w:rFonts w:hint="eastAsia" w:ascii="楷体_GB2312" w:hAnsi="楷体_GB2312" w:eastAsia="楷体_GB2312"/>
          <w:lang w:eastAsia="zh-CN"/>
        </w:rPr>
        <w:t xml:space="preserve">  </w:t>
      </w:r>
      <w:r>
        <w:rPr>
          <w:rFonts w:hint="eastAsia" w:ascii="楷体_GB2312" w:hAnsi="楷体_GB2312" w:eastAsia="楷体_GB2312"/>
        </w:rPr>
        <w:t>2010年9月29日甘肃省第十一届人民代表大会常务委员会第十七次会议第二次修正</w:t>
      </w:r>
      <w:r>
        <w:rPr>
          <w:rFonts w:hint="eastAsia" w:ascii="楷体_GB2312" w:hAnsi="楷体_GB2312" w:eastAsia="楷体_GB2312"/>
          <w:lang w:eastAsia="zh-CN"/>
        </w:rPr>
        <w:t xml:space="preserve">  </w:t>
      </w:r>
      <w:r>
        <w:rPr>
          <w:rFonts w:hint="eastAsia" w:ascii="楷体_GB2312" w:hAnsi="楷体_GB2312" w:eastAsia="楷体_GB2312"/>
        </w:rPr>
        <w:t>2012年3月28日甘肃省第十一届人民代表大会常务委员会第二十六次会议第三次修正）</w:t>
      </w:r>
    </w:p>
    <w:p>
      <w:pPr>
        <w:widowControl w:val="0"/>
        <w:adjustRightInd/>
        <w:snapToGrid/>
        <w:spacing w:line="576" w:lineRule="exact"/>
        <w:textAlignment w:val="auto"/>
        <w:outlineLvl w:val="9"/>
        <w:rPr>
          <w:rFonts w:hint="eastAsia"/>
        </w:rPr>
      </w:pPr>
    </w:p>
    <w:p>
      <w:pPr>
        <w:widowControl w:val="0"/>
        <w:adjustRightInd/>
        <w:snapToGrid/>
        <w:spacing w:line="576" w:lineRule="exact"/>
        <w:ind w:firstLineChars="200"/>
        <w:textAlignment w:val="auto"/>
        <w:outlineLvl w:val="9"/>
        <w:rPr>
          <w:rFonts w:hint="eastAsia"/>
        </w:rPr>
      </w:pPr>
      <w:r>
        <w:rPr>
          <w:rFonts w:hint="eastAsia" w:ascii="黑体" w:hAnsi="黑体" w:eastAsia="黑体"/>
        </w:rPr>
        <w:t>第一条</w:t>
      </w:r>
      <w:r>
        <w:rPr>
          <w:rFonts w:hint="eastAsia"/>
          <w:lang w:eastAsia="zh-CN"/>
        </w:rPr>
        <w:t xml:space="preserve">  </w:t>
      </w:r>
      <w:r>
        <w:rPr>
          <w:rFonts w:hint="eastAsia"/>
        </w:rPr>
        <w:t>为加强水路交通管理，保障水路交通安全、畅通，促进水路交通运输生产的发展，根据《中华人民共和国水路运输管理条例》、《中华人民共和国内河交通安全管理条例》等国家有关法律、法规，结合本省实际，制定本条例。</w:t>
      </w:r>
    </w:p>
    <w:p>
      <w:pPr>
        <w:widowControl w:val="0"/>
        <w:adjustRightInd/>
        <w:snapToGrid/>
        <w:spacing w:line="576" w:lineRule="exact"/>
        <w:ind w:firstLineChars="200"/>
        <w:textAlignment w:val="auto"/>
        <w:outlineLvl w:val="9"/>
        <w:rPr>
          <w:rFonts w:hint="eastAsia"/>
        </w:rPr>
      </w:pPr>
      <w:r>
        <w:rPr>
          <w:rFonts w:hint="eastAsia" w:ascii="黑体" w:hAnsi="黑体" w:eastAsia="黑体"/>
        </w:rPr>
        <w:t>第二条</w:t>
      </w:r>
      <w:r>
        <w:rPr>
          <w:rFonts w:hint="eastAsia"/>
          <w:lang w:eastAsia="zh-CN"/>
        </w:rPr>
        <w:t xml:space="preserve">  </w:t>
      </w:r>
      <w:r>
        <w:rPr>
          <w:rFonts w:hint="eastAsia"/>
        </w:rPr>
        <w:t>本条例适用于本省行政区域内从事水路交通的单位和个人。</w:t>
      </w:r>
    </w:p>
    <w:p>
      <w:pPr>
        <w:widowControl w:val="0"/>
        <w:adjustRightInd/>
        <w:snapToGrid/>
        <w:spacing w:line="576" w:lineRule="exact"/>
        <w:ind w:firstLineChars="200"/>
        <w:textAlignment w:val="auto"/>
        <w:outlineLvl w:val="9"/>
        <w:rPr>
          <w:rFonts w:hint="eastAsia"/>
        </w:rPr>
      </w:pPr>
      <w:r>
        <w:rPr>
          <w:rFonts w:hint="eastAsia" w:ascii="黑体" w:hAnsi="黑体" w:eastAsia="黑体"/>
        </w:rPr>
        <w:t>第三条</w:t>
      </w:r>
      <w:r>
        <w:rPr>
          <w:rFonts w:hint="eastAsia"/>
          <w:lang w:eastAsia="zh-CN"/>
        </w:rPr>
        <w:t xml:space="preserve">  </w:t>
      </w:r>
      <w:r>
        <w:rPr>
          <w:rFonts w:hint="eastAsia"/>
        </w:rPr>
        <w:t>县级以上交通运输主管部门负责本行政区域内的水路交通管理工作。</w:t>
      </w:r>
    </w:p>
    <w:p>
      <w:pPr>
        <w:widowControl w:val="0"/>
        <w:adjustRightInd/>
        <w:snapToGrid/>
        <w:spacing w:line="576" w:lineRule="exact"/>
        <w:ind w:firstLineChars="200"/>
        <w:textAlignment w:val="auto"/>
        <w:outlineLvl w:val="9"/>
        <w:rPr>
          <w:rFonts w:hint="eastAsia"/>
        </w:rPr>
      </w:pPr>
      <w:r>
        <w:rPr>
          <w:rFonts w:hint="eastAsia"/>
        </w:rPr>
        <w:t>交通运输主管部门及其设置的水路交通管理机构(水运管理、航道管理、海事管理、船舶检验)依其职责负责实施本条例。</w:t>
      </w:r>
    </w:p>
    <w:p>
      <w:pPr>
        <w:widowControl w:val="0"/>
        <w:adjustRightInd/>
        <w:snapToGrid/>
        <w:spacing w:line="576" w:lineRule="exact"/>
        <w:ind w:firstLineChars="200"/>
        <w:textAlignment w:val="auto"/>
        <w:outlineLvl w:val="9"/>
        <w:rPr>
          <w:rFonts w:hint="eastAsia"/>
        </w:rPr>
      </w:pPr>
      <w:r>
        <w:rPr>
          <w:rFonts w:hint="eastAsia"/>
        </w:rPr>
        <w:t>各级人民政府有关部门，应当按照各自的职责，配合交通运输主管部门做好水路交通管理工作。</w:t>
      </w:r>
    </w:p>
    <w:p>
      <w:pPr>
        <w:widowControl w:val="0"/>
        <w:adjustRightInd/>
        <w:snapToGrid/>
        <w:spacing w:line="576" w:lineRule="exact"/>
        <w:ind w:firstLineChars="200"/>
        <w:textAlignment w:val="auto"/>
        <w:outlineLvl w:val="9"/>
        <w:rPr>
          <w:rFonts w:hint="eastAsia"/>
        </w:rPr>
      </w:pPr>
      <w:r>
        <w:rPr>
          <w:rFonts w:hint="eastAsia" w:ascii="黑体" w:hAnsi="黑体" w:eastAsia="黑体"/>
        </w:rPr>
        <w:t>第四条</w:t>
      </w:r>
      <w:r>
        <w:rPr>
          <w:rFonts w:hint="eastAsia"/>
          <w:lang w:eastAsia="zh-CN"/>
        </w:rPr>
        <w:t xml:space="preserve">  </w:t>
      </w:r>
      <w:r>
        <w:rPr>
          <w:rFonts w:hint="eastAsia"/>
        </w:rPr>
        <w:t>省交通运输主管部门根据国家内河通航标准、防洪标准和航运发展需要，编制全省航道发展规划和依照国家有关规定划定四级以下航道技术等级。</w:t>
      </w:r>
    </w:p>
    <w:p>
      <w:pPr>
        <w:widowControl w:val="0"/>
        <w:adjustRightInd/>
        <w:snapToGrid/>
        <w:spacing w:line="576" w:lineRule="exact"/>
        <w:ind w:firstLineChars="200"/>
        <w:textAlignment w:val="auto"/>
        <w:outlineLvl w:val="9"/>
        <w:rPr>
          <w:rFonts w:hint="eastAsia"/>
        </w:rPr>
      </w:pPr>
      <w:r>
        <w:rPr>
          <w:rFonts w:hint="eastAsia" w:ascii="黑体" w:hAnsi="黑体" w:eastAsia="黑体"/>
        </w:rPr>
        <w:t>第五条</w:t>
      </w:r>
      <w:r>
        <w:rPr>
          <w:rFonts w:hint="eastAsia"/>
          <w:lang w:eastAsia="zh-CN"/>
        </w:rPr>
        <w:t xml:space="preserve">  </w:t>
      </w:r>
      <w:r>
        <w:rPr>
          <w:rFonts w:hint="eastAsia"/>
        </w:rPr>
        <w:t>水路交通管理机构应加强对航道及其设施的管理和养护，过船设施的管理单位应加强维护工作，保持航道和航道设施处于良好的技术状态，保证船舶安全、便捷地通过。</w:t>
      </w:r>
    </w:p>
    <w:p>
      <w:pPr>
        <w:widowControl w:val="0"/>
        <w:adjustRightInd/>
        <w:snapToGrid/>
        <w:spacing w:line="576" w:lineRule="exact"/>
        <w:ind w:firstLineChars="200"/>
        <w:textAlignment w:val="auto"/>
        <w:outlineLvl w:val="9"/>
        <w:rPr>
          <w:rFonts w:hint="eastAsia"/>
        </w:rPr>
      </w:pPr>
      <w:r>
        <w:rPr>
          <w:rFonts w:hint="eastAsia"/>
        </w:rPr>
        <w:t>水路交通管理机构应及时发布航道变迁、航标位移、航道尺度和水情以及航道施工作业的航道通告。</w:t>
      </w:r>
    </w:p>
    <w:p>
      <w:pPr>
        <w:widowControl w:val="0"/>
        <w:adjustRightInd/>
        <w:snapToGrid/>
        <w:spacing w:line="576" w:lineRule="exact"/>
        <w:ind w:firstLineChars="200"/>
        <w:textAlignment w:val="auto"/>
        <w:outlineLvl w:val="9"/>
        <w:rPr>
          <w:rFonts w:hint="eastAsia"/>
        </w:rPr>
      </w:pPr>
      <w:r>
        <w:rPr>
          <w:rFonts w:hint="eastAsia"/>
        </w:rPr>
        <w:t>水路交通管理机构为保障航道畅通进行的航道施工作业，任何单位和个人不得非法阻挠或收取费用。</w:t>
      </w:r>
    </w:p>
    <w:p>
      <w:pPr>
        <w:widowControl w:val="0"/>
        <w:adjustRightInd/>
        <w:snapToGrid/>
        <w:spacing w:line="576" w:lineRule="exact"/>
        <w:ind w:firstLineChars="200"/>
        <w:textAlignment w:val="auto"/>
        <w:outlineLvl w:val="9"/>
        <w:rPr>
          <w:rFonts w:hint="eastAsia"/>
        </w:rPr>
      </w:pPr>
      <w:r>
        <w:rPr>
          <w:rFonts w:hint="eastAsia" w:ascii="黑体" w:hAnsi="黑体" w:eastAsia="黑体"/>
        </w:rPr>
        <w:t>第六条</w:t>
      </w:r>
      <w:r>
        <w:rPr>
          <w:rFonts w:hint="eastAsia"/>
          <w:lang w:eastAsia="zh-CN"/>
        </w:rPr>
        <w:t xml:space="preserve">  </w:t>
      </w:r>
      <w:r>
        <w:rPr>
          <w:rFonts w:hint="eastAsia"/>
        </w:rPr>
        <w:t>兴建临河、跨河、过河等与通航有关的设施，应符合航道技术等级标准和防洪标准，并事先征得河道主管机关和交通运输主管部门的同意。</w:t>
      </w:r>
    </w:p>
    <w:p>
      <w:pPr>
        <w:widowControl w:val="0"/>
        <w:adjustRightInd/>
        <w:snapToGrid/>
        <w:spacing w:line="576" w:lineRule="exact"/>
        <w:ind w:firstLineChars="200"/>
        <w:textAlignment w:val="auto"/>
        <w:outlineLvl w:val="9"/>
        <w:rPr>
          <w:rFonts w:hint="eastAsia"/>
        </w:rPr>
      </w:pPr>
      <w:r>
        <w:rPr>
          <w:rFonts w:hint="eastAsia"/>
        </w:rPr>
        <w:t>进行航道整治，应当事先征求交通运输主管部门的意见。</w:t>
      </w:r>
    </w:p>
    <w:p>
      <w:pPr>
        <w:widowControl w:val="0"/>
        <w:adjustRightInd/>
        <w:snapToGrid/>
        <w:spacing w:line="576" w:lineRule="exact"/>
        <w:ind w:firstLineChars="200"/>
        <w:textAlignment w:val="auto"/>
        <w:outlineLvl w:val="9"/>
        <w:rPr>
          <w:rFonts w:hint="eastAsia"/>
        </w:rPr>
      </w:pPr>
      <w:r>
        <w:rPr>
          <w:rFonts w:hint="eastAsia"/>
        </w:rPr>
        <w:t>在黄河、洮河、白龙江等通航的河段上修建永久性拦河闸坝时，建设单位应当同步修建过船设施。</w:t>
      </w:r>
    </w:p>
    <w:p>
      <w:pPr>
        <w:widowControl w:val="0"/>
        <w:adjustRightInd/>
        <w:snapToGrid/>
        <w:spacing w:line="576" w:lineRule="exact"/>
        <w:ind w:firstLineChars="200"/>
        <w:textAlignment w:val="auto"/>
        <w:outlineLvl w:val="9"/>
        <w:rPr>
          <w:rFonts w:hint="eastAsia"/>
        </w:rPr>
      </w:pPr>
      <w:r>
        <w:rPr>
          <w:rFonts w:hint="eastAsia" w:ascii="黑体" w:hAnsi="黑体" w:eastAsia="黑体"/>
        </w:rPr>
        <w:t>第七条</w:t>
      </w:r>
      <w:r>
        <w:rPr>
          <w:rFonts w:hint="eastAsia"/>
          <w:lang w:eastAsia="zh-CN"/>
        </w:rPr>
        <w:t xml:space="preserve">  </w:t>
      </w:r>
      <w:r>
        <w:rPr>
          <w:rFonts w:hint="eastAsia"/>
        </w:rPr>
        <w:t>任何单位和个人不得侵占、损坏航道以及航道设施，不得向航道倾倒砂石、泥土和废弃物。</w:t>
      </w:r>
    </w:p>
    <w:p>
      <w:pPr>
        <w:widowControl w:val="0"/>
        <w:adjustRightInd/>
        <w:snapToGrid/>
        <w:spacing w:line="576" w:lineRule="exact"/>
        <w:ind w:firstLineChars="200"/>
        <w:textAlignment w:val="auto"/>
        <w:outlineLvl w:val="9"/>
        <w:rPr>
          <w:rFonts w:hint="eastAsia"/>
        </w:rPr>
      </w:pPr>
      <w:r>
        <w:rPr>
          <w:rFonts w:hint="eastAsia"/>
        </w:rPr>
        <w:t>在航道范围内挖取砂石泥土、开采砂金、堆放材料，必须经县级以上交通运输主管部门同意后，报河道行政主管部门批准，并按批准的范围和作业方式开采，不得恶化通航条件。在城市规划区内航道上的上述活动，必须征得城市规划行政主管部门同意。</w:t>
      </w:r>
    </w:p>
    <w:p>
      <w:pPr>
        <w:widowControl w:val="0"/>
        <w:adjustRightInd/>
        <w:snapToGrid/>
        <w:spacing w:line="576" w:lineRule="exact"/>
        <w:ind w:firstLineChars="200"/>
        <w:textAlignment w:val="auto"/>
        <w:outlineLvl w:val="9"/>
        <w:rPr>
          <w:rFonts w:hint="eastAsia"/>
        </w:rPr>
      </w:pPr>
      <w:r>
        <w:rPr>
          <w:rFonts w:hint="eastAsia" w:ascii="黑体" w:hAnsi="黑体" w:eastAsia="黑体"/>
        </w:rPr>
        <w:t>第八条</w:t>
      </w:r>
      <w:r>
        <w:rPr>
          <w:rFonts w:hint="eastAsia"/>
          <w:lang w:eastAsia="zh-CN"/>
        </w:rPr>
        <w:t xml:space="preserve">  </w:t>
      </w:r>
      <w:r>
        <w:rPr>
          <w:rFonts w:hint="eastAsia"/>
        </w:rPr>
        <w:t>省交通运输主管部门负责编制本省重要港口的总体规划，由省人民政府征求国务院交通运输主管部门意见后批准，公布实施。其他港口的总体规划由港口所在地的市、县人民政府批准后公布实施，并报省人民政府备案。</w:t>
      </w:r>
    </w:p>
    <w:p>
      <w:pPr>
        <w:widowControl w:val="0"/>
        <w:adjustRightInd/>
        <w:snapToGrid/>
        <w:spacing w:line="576" w:lineRule="exact"/>
        <w:ind w:firstLineChars="200"/>
        <w:textAlignment w:val="auto"/>
        <w:outlineLvl w:val="9"/>
        <w:rPr>
          <w:rFonts w:hint="eastAsia"/>
        </w:rPr>
      </w:pPr>
      <w:r>
        <w:rPr>
          <w:rFonts w:hint="eastAsia" w:ascii="黑体" w:hAnsi="黑体" w:eastAsia="黑体"/>
        </w:rPr>
        <w:t>第九条</w:t>
      </w:r>
      <w:r>
        <w:rPr>
          <w:rFonts w:hint="eastAsia"/>
          <w:lang w:eastAsia="zh-CN"/>
        </w:rPr>
        <w:t xml:space="preserve">  </w:t>
      </w:r>
      <w:r>
        <w:rPr>
          <w:rFonts w:hint="eastAsia"/>
        </w:rPr>
        <w:t>在港口总体规划区内建设港口设施，使用港口岸线的，由省交通运输主管部门批准。</w:t>
      </w:r>
    </w:p>
    <w:p>
      <w:pPr>
        <w:widowControl w:val="0"/>
        <w:adjustRightInd/>
        <w:snapToGrid/>
        <w:spacing w:line="576" w:lineRule="exact"/>
        <w:ind w:firstLineChars="200"/>
        <w:textAlignment w:val="auto"/>
        <w:outlineLvl w:val="9"/>
        <w:rPr>
          <w:rFonts w:hint="eastAsia"/>
        </w:rPr>
      </w:pPr>
      <w:r>
        <w:rPr>
          <w:rFonts w:hint="eastAsia"/>
        </w:rPr>
        <w:t>港口、航道及有关设施的建设用地，必须依法办理有关审批手续。</w:t>
      </w:r>
    </w:p>
    <w:p>
      <w:pPr>
        <w:widowControl w:val="0"/>
        <w:adjustRightInd/>
        <w:snapToGrid/>
        <w:spacing w:line="576" w:lineRule="exact"/>
        <w:ind w:firstLineChars="200"/>
        <w:textAlignment w:val="auto"/>
        <w:outlineLvl w:val="9"/>
        <w:rPr>
          <w:rFonts w:hint="eastAsia"/>
        </w:rPr>
      </w:pPr>
      <w:r>
        <w:rPr>
          <w:rFonts w:hint="eastAsia" w:ascii="黑体" w:hAnsi="黑体" w:eastAsia="黑体"/>
        </w:rPr>
        <w:t>第十条</w:t>
      </w:r>
      <w:r>
        <w:rPr>
          <w:rFonts w:hint="eastAsia"/>
          <w:lang w:eastAsia="zh-CN"/>
        </w:rPr>
        <w:t xml:space="preserve">  </w:t>
      </w:r>
      <w:r>
        <w:rPr>
          <w:rFonts w:hint="eastAsia"/>
        </w:rPr>
        <w:t>港口建设应当符合港口总体规划。按照法律和法规规定须经有关部门批准的港口建设项目，应当按照有关规定办理审批手续，并符合国家有关标准和技术规范。</w:t>
      </w:r>
    </w:p>
    <w:p>
      <w:pPr>
        <w:widowControl w:val="0"/>
        <w:adjustRightInd/>
        <w:snapToGrid/>
        <w:spacing w:line="576" w:lineRule="exact"/>
        <w:ind w:firstLineChars="200"/>
        <w:textAlignment w:val="auto"/>
        <w:outlineLvl w:val="9"/>
        <w:rPr>
          <w:rFonts w:hint="eastAsia"/>
        </w:rPr>
      </w:pPr>
      <w:r>
        <w:rPr>
          <w:rFonts w:hint="eastAsia" w:ascii="黑体" w:hAnsi="黑体" w:eastAsia="黑体"/>
        </w:rPr>
        <w:t>第十一条</w:t>
      </w:r>
      <w:r>
        <w:rPr>
          <w:rFonts w:hint="eastAsia"/>
          <w:lang w:eastAsia="zh-CN"/>
        </w:rPr>
        <w:t xml:space="preserve">  </w:t>
      </w:r>
      <w:r>
        <w:rPr>
          <w:rFonts w:hint="eastAsia"/>
        </w:rPr>
        <w:t>从事港口经营应当符合《中华人民共和国港口法》规定的经营许可条件，向市、州以上水路交通管理机构提出书面申请，取得许可后依法办理工商登记。</w:t>
      </w:r>
    </w:p>
    <w:p>
      <w:pPr>
        <w:widowControl w:val="0"/>
        <w:adjustRightInd/>
        <w:snapToGrid/>
        <w:spacing w:line="576" w:lineRule="exact"/>
        <w:ind w:firstLineChars="200"/>
        <w:textAlignment w:val="auto"/>
        <w:outlineLvl w:val="9"/>
        <w:rPr>
          <w:rFonts w:hint="eastAsia"/>
        </w:rPr>
      </w:pPr>
      <w:r>
        <w:rPr>
          <w:rFonts w:hint="eastAsia"/>
        </w:rPr>
        <w:t>水路交通管理机构应当自收到书面申请之日起三十日内依法作出许可或者不予许可的决定。</w:t>
      </w:r>
    </w:p>
    <w:p>
      <w:pPr>
        <w:widowControl w:val="0"/>
        <w:adjustRightInd/>
        <w:snapToGrid/>
        <w:spacing w:line="576" w:lineRule="exact"/>
        <w:ind w:firstLineChars="200"/>
        <w:textAlignment w:val="auto"/>
        <w:outlineLvl w:val="9"/>
        <w:rPr>
          <w:rFonts w:hint="eastAsia"/>
        </w:rPr>
      </w:pPr>
      <w:r>
        <w:rPr>
          <w:rFonts w:hint="eastAsia" w:ascii="黑体" w:hAnsi="黑体" w:eastAsia="黑体"/>
        </w:rPr>
        <w:t>第十二条</w:t>
      </w:r>
      <w:r>
        <w:rPr>
          <w:rFonts w:hint="eastAsia"/>
          <w:lang w:eastAsia="zh-CN"/>
        </w:rPr>
        <w:t xml:space="preserve">  </w:t>
      </w:r>
      <w:r>
        <w:rPr>
          <w:rFonts w:hint="eastAsia"/>
        </w:rPr>
        <w:t>水路旅客运输和旅游运输经营者，应按水路交通管理机构批准的航线、停靠站点及班次从事营运，不得自行取消、转让或随意减少。需要取消或变更的，须经原批准机构批准，并在沿线各客运站点发布公告一个月后，方可取消或变更，因不可抗力需临时变更的除外。</w:t>
      </w:r>
    </w:p>
    <w:p>
      <w:pPr>
        <w:widowControl w:val="0"/>
        <w:adjustRightInd/>
        <w:snapToGrid/>
        <w:spacing w:line="576" w:lineRule="exact"/>
        <w:ind w:firstLineChars="200"/>
        <w:textAlignment w:val="auto"/>
        <w:outlineLvl w:val="9"/>
        <w:rPr>
          <w:rFonts w:hint="eastAsia"/>
        </w:rPr>
      </w:pPr>
      <w:r>
        <w:rPr>
          <w:rFonts w:hint="eastAsia" w:ascii="黑体" w:hAnsi="黑体" w:eastAsia="黑体"/>
        </w:rPr>
        <w:t>第十三条</w:t>
      </w:r>
      <w:r>
        <w:rPr>
          <w:rFonts w:hint="eastAsia"/>
          <w:lang w:eastAsia="zh-CN"/>
        </w:rPr>
        <w:t xml:space="preserve">  </w:t>
      </w:r>
      <w:r>
        <w:rPr>
          <w:rFonts w:hint="eastAsia"/>
        </w:rPr>
        <w:t>水路运输和水路运输服务、港口经营者，应在核准的经营范围内从事经营活动，提供安全、优质、文明的服务，按期进行船舶年度审验，使用国家和省规定的水路运输票据和单证。</w:t>
      </w:r>
    </w:p>
    <w:p>
      <w:pPr>
        <w:widowControl w:val="0"/>
        <w:adjustRightInd/>
        <w:snapToGrid/>
        <w:spacing w:line="576" w:lineRule="exact"/>
        <w:ind w:firstLineChars="200"/>
        <w:textAlignment w:val="auto"/>
        <w:outlineLvl w:val="9"/>
        <w:rPr>
          <w:rFonts w:hint="eastAsia"/>
        </w:rPr>
      </w:pPr>
      <w:r>
        <w:rPr>
          <w:rFonts w:hint="eastAsia" w:ascii="黑体" w:hAnsi="黑体" w:eastAsia="黑体"/>
        </w:rPr>
        <w:t>第十四条</w:t>
      </w:r>
      <w:r>
        <w:rPr>
          <w:rFonts w:hint="eastAsia"/>
          <w:lang w:eastAsia="zh-CN"/>
        </w:rPr>
        <w:t xml:space="preserve">  </w:t>
      </w:r>
      <w:r>
        <w:rPr>
          <w:rFonts w:hint="eastAsia"/>
        </w:rPr>
        <w:t>对县级以上人民政府下达的军事、抢险救灾物资的运输任务，交通行政主管部门应指令辖区内船舶承运，水运经营者必须保证完成。</w:t>
      </w:r>
    </w:p>
    <w:p>
      <w:pPr>
        <w:widowControl w:val="0"/>
        <w:adjustRightInd/>
        <w:snapToGrid/>
        <w:spacing w:line="576" w:lineRule="exact"/>
        <w:ind w:firstLineChars="200"/>
        <w:textAlignment w:val="auto"/>
        <w:outlineLvl w:val="9"/>
        <w:rPr>
          <w:rFonts w:hint="eastAsia"/>
        </w:rPr>
      </w:pPr>
      <w:r>
        <w:rPr>
          <w:rFonts w:hint="eastAsia" w:ascii="黑体" w:hAnsi="黑体" w:eastAsia="黑体"/>
        </w:rPr>
        <w:t>第十五条</w:t>
      </w:r>
      <w:r>
        <w:rPr>
          <w:rFonts w:hint="eastAsia"/>
          <w:lang w:eastAsia="zh-CN"/>
        </w:rPr>
        <w:t xml:space="preserve">  </w:t>
      </w:r>
      <w:r>
        <w:rPr>
          <w:rFonts w:hint="eastAsia"/>
        </w:rPr>
        <w:t>船舶在航行、停泊、作业过程中应当采取有效措施，防止污染水体，并不得停泊在水源取水口的禁泊区内。船舶航行产生的噪音不得超过国家和省规定的量值。船舶发生交通事故，可能造成水体污染的，应当及时报告当地环保部门。水路交通管理机构应当加强对船舶污染的监督管理。</w:t>
      </w:r>
    </w:p>
    <w:p>
      <w:pPr>
        <w:widowControl w:val="0"/>
        <w:adjustRightInd/>
        <w:snapToGrid/>
        <w:spacing w:line="576" w:lineRule="exact"/>
        <w:ind w:firstLineChars="200"/>
        <w:textAlignment w:val="auto"/>
        <w:outlineLvl w:val="9"/>
        <w:rPr>
          <w:rFonts w:hint="eastAsia"/>
        </w:rPr>
      </w:pPr>
      <w:r>
        <w:rPr>
          <w:rFonts w:hint="eastAsia" w:ascii="黑体" w:hAnsi="黑体" w:eastAsia="黑体"/>
        </w:rPr>
        <w:t>第十六条</w:t>
      </w:r>
      <w:r>
        <w:rPr>
          <w:rFonts w:hint="eastAsia"/>
          <w:lang w:eastAsia="zh-CN"/>
        </w:rPr>
        <w:t xml:space="preserve">  </w:t>
      </w:r>
      <w:r>
        <w:rPr>
          <w:rFonts w:hint="eastAsia"/>
        </w:rPr>
        <w:t>各级交通运输主管部门设置的海事管理机构对内河交通安全实施统一监督，对渡口（乡镇渡口、交通渡口、内部渡口）和乡镇船舶安全实施监督和业务指导。</w:t>
      </w:r>
    </w:p>
    <w:p>
      <w:pPr>
        <w:widowControl w:val="0"/>
        <w:adjustRightInd/>
        <w:snapToGrid/>
        <w:spacing w:line="576" w:lineRule="exact"/>
        <w:textAlignment w:val="auto"/>
        <w:outlineLvl w:val="9"/>
        <w:rPr>
          <w:rFonts w:hint="eastAsia"/>
        </w:rPr>
      </w:pPr>
      <w:r>
        <w:rPr>
          <w:rFonts w:hint="eastAsia"/>
        </w:rPr>
        <w:t>　　县、乡（镇）人民政府，对本辖区内乡镇船舶及其渡口的安全管理负责，按照船舶、渡口的数量，应配备专职或兼职安全管理员，对辖区内水上安全进行管理，对船员、渡工进行安全教育。县级人民政府与乡（镇）人民政府、乡（镇）人民政府与行政村、行政村与船主应当分别签订船舶安全管理责任书。</w:t>
      </w:r>
    </w:p>
    <w:p>
      <w:pPr>
        <w:widowControl w:val="0"/>
        <w:adjustRightInd/>
        <w:snapToGrid/>
        <w:spacing w:line="576" w:lineRule="exact"/>
        <w:textAlignment w:val="auto"/>
        <w:outlineLvl w:val="9"/>
        <w:rPr>
          <w:rFonts w:hint="eastAsia"/>
        </w:rPr>
      </w:pPr>
      <w:r>
        <w:rPr>
          <w:rFonts w:hint="eastAsia"/>
        </w:rPr>
        <w:t>　　交通渡口的管理工作实行统一领导、分级管理的原则。交通渡口的各级主管部门，内部渡口的办渡单位，对渡口的修建、养护和安全管理负责。</w:t>
      </w:r>
    </w:p>
    <w:p>
      <w:pPr>
        <w:widowControl w:val="0"/>
        <w:adjustRightInd/>
        <w:snapToGrid/>
        <w:spacing w:line="576" w:lineRule="exact"/>
        <w:ind w:firstLineChars="200"/>
        <w:textAlignment w:val="auto"/>
        <w:outlineLvl w:val="9"/>
        <w:rPr>
          <w:rFonts w:hint="eastAsia"/>
        </w:rPr>
      </w:pPr>
      <w:r>
        <w:rPr>
          <w:rFonts w:hint="eastAsia" w:ascii="黑体" w:hAnsi="黑体" w:eastAsia="黑体"/>
        </w:rPr>
        <w:t>第十七条</w:t>
      </w:r>
      <w:r>
        <w:rPr>
          <w:rFonts w:hint="eastAsia"/>
          <w:lang w:eastAsia="zh-CN"/>
        </w:rPr>
        <w:t xml:space="preserve">  </w:t>
      </w:r>
      <w:r>
        <w:rPr>
          <w:rFonts w:hint="eastAsia"/>
        </w:rPr>
        <w:t>城市园林水域及风景区水域的水上交通安全由当地海事管理机构进行监督管理，其具体的安全管理工作由园区主管部门负责。</w:t>
      </w:r>
    </w:p>
    <w:p>
      <w:pPr>
        <w:widowControl w:val="0"/>
        <w:adjustRightInd/>
        <w:snapToGrid/>
        <w:spacing w:line="576" w:lineRule="exact"/>
        <w:textAlignment w:val="auto"/>
        <w:outlineLvl w:val="9"/>
        <w:rPr>
          <w:rFonts w:hint="eastAsia"/>
        </w:rPr>
      </w:pPr>
      <w:r>
        <w:rPr>
          <w:rFonts w:hint="eastAsia"/>
        </w:rPr>
        <w:t xml:space="preserve">     上述水域游览船舶及水上浮动游览设施的安全管理，由船舶、浮动设施的经营单位或者经营人负责。经营单位或者经营人须建立健全安全管理责任制，落实现场管理人员，维护水上游览秩序。</w:t>
      </w:r>
    </w:p>
    <w:p>
      <w:pPr>
        <w:widowControl w:val="0"/>
        <w:adjustRightInd/>
        <w:snapToGrid/>
        <w:spacing w:line="576" w:lineRule="exact"/>
        <w:ind w:firstLineChars="200"/>
        <w:textAlignment w:val="auto"/>
        <w:outlineLvl w:val="9"/>
        <w:rPr>
          <w:rFonts w:hint="eastAsia"/>
        </w:rPr>
      </w:pPr>
      <w:r>
        <w:rPr>
          <w:rFonts w:hint="eastAsia" w:ascii="黑体" w:hAnsi="黑体" w:eastAsia="黑体"/>
        </w:rPr>
        <w:t>第十八条</w:t>
      </w:r>
      <w:r>
        <w:rPr>
          <w:rFonts w:hint="eastAsia"/>
          <w:lang w:eastAsia="zh-CN"/>
        </w:rPr>
        <w:t xml:space="preserve">  </w:t>
      </w:r>
      <w:r>
        <w:rPr>
          <w:rFonts w:hint="eastAsia"/>
        </w:rPr>
        <w:t>禁止擅自设置、迁移、撤销渡口。确需设置、迁移、撤销渡口的，应当报所在地县级人民政府审批，审批前应当征求当地水路交通管理机构的意见。</w:t>
      </w:r>
    </w:p>
    <w:p>
      <w:pPr>
        <w:widowControl w:val="0"/>
        <w:adjustRightInd/>
        <w:snapToGrid/>
        <w:spacing w:line="576" w:lineRule="exact"/>
        <w:ind w:firstLineChars="200"/>
        <w:textAlignment w:val="auto"/>
        <w:outlineLvl w:val="9"/>
        <w:rPr>
          <w:rFonts w:hint="eastAsia"/>
        </w:rPr>
      </w:pPr>
      <w:r>
        <w:rPr>
          <w:rFonts w:hint="eastAsia" w:ascii="黑体" w:hAnsi="黑体" w:eastAsia="黑体"/>
        </w:rPr>
        <w:t>第十九条</w:t>
      </w:r>
      <w:r>
        <w:rPr>
          <w:rFonts w:hint="eastAsia"/>
          <w:lang w:eastAsia="zh-CN"/>
        </w:rPr>
        <w:t xml:space="preserve">  </w:t>
      </w:r>
      <w:r>
        <w:rPr>
          <w:rFonts w:hint="eastAsia"/>
        </w:rPr>
        <w:t>渡口经营者应当在渡口设置明显的标志，维护渡口运输秩序，保障渡口运输安全。当渡口发生交通事故时，渡口管理单位或者渡口经营者应当立即组织抢救。在引道、码头上发生的交通事故，应当报公安交通管理机关处理。在渡船及其跳板上发生的事故，应当报海事管理机构处理。</w:t>
      </w:r>
    </w:p>
    <w:p>
      <w:pPr>
        <w:widowControl w:val="0"/>
        <w:adjustRightInd/>
        <w:snapToGrid/>
        <w:spacing w:line="576" w:lineRule="exact"/>
        <w:ind w:firstLineChars="200"/>
        <w:textAlignment w:val="auto"/>
        <w:outlineLvl w:val="9"/>
        <w:rPr>
          <w:rFonts w:hint="eastAsia"/>
        </w:rPr>
      </w:pPr>
      <w:r>
        <w:rPr>
          <w:rFonts w:hint="eastAsia" w:ascii="黑体" w:hAnsi="黑体" w:eastAsia="黑体"/>
        </w:rPr>
        <w:t>第二十条</w:t>
      </w:r>
      <w:r>
        <w:rPr>
          <w:rFonts w:hint="eastAsia"/>
          <w:lang w:eastAsia="zh-CN"/>
        </w:rPr>
        <w:t xml:space="preserve">  </w:t>
      </w:r>
      <w:r>
        <w:rPr>
          <w:rFonts w:hint="eastAsia"/>
        </w:rPr>
        <w:t>船舶必须配备消防、救生等安全设备及通讯、卫生、环保设备。</w:t>
      </w:r>
    </w:p>
    <w:p>
      <w:pPr>
        <w:widowControl w:val="0"/>
        <w:adjustRightInd/>
        <w:snapToGrid/>
        <w:spacing w:line="576" w:lineRule="exact"/>
        <w:textAlignment w:val="auto"/>
        <w:outlineLvl w:val="9"/>
        <w:rPr>
          <w:rFonts w:hint="eastAsia"/>
        </w:rPr>
      </w:pPr>
      <w:r>
        <w:rPr>
          <w:rFonts w:hint="eastAsia"/>
        </w:rPr>
        <w:t xml:space="preserve">　　船舶、浮动设施及其人员应当具有合法有效的航行、作业证书和证件，航行、停泊、作业必须遵守有关法律、法规以及交通管制、交通安全标志的规定。 </w:t>
      </w:r>
    </w:p>
    <w:p>
      <w:pPr>
        <w:widowControl w:val="0"/>
        <w:adjustRightInd/>
        <w:snapToGrid/>
        <w:spacing w:line="576" w:lineRule="exact"/>
        <w:textAlignment w:val="auto"/>
        <w:outlineLvl w:val="9"/>
        <w:rPr>
          <w:rFonts w:hint="eastAsia"/>
        </w:rPr>
      </w:pPr>
      <w:r>
        <w:rPr>
          <w:rFonts w:hint="eastAsia"/>
        </w:rPr>
        <w:t>　　船舶、浮动设施进出港应办理签证。</w:t>
      </w:r>
    </w:p>
    <w:p>
      <w:pPr>
        <w:widowControl w:val="0"/>
        <w:adjustRightInd/>
        <w:snapToGrid/>
        <w:spacing w:line="576" w:lineRule="exact"/>
        <w:textAlignment w:val="auto"/>
        <w:outlineLvl w:val="9"/>
        <w:rPr>
          <w:rFonts w:hint="eastAsia"/>
        </w:rPr>
      </w:pPr>
      <w:r>
        <w:rPr>
          <w:rFonts w:hint="eastAsia"/>
        </w:rPr>
        <w:t>　　对无证船舶航行、作业应当扣留查处。</w:t>
      </w:r>
    </w:p>
    <w:p>
      <w:pPr>
        <w:widowControl w:val="0"/>
        <w:adjustRightInd/>
        <w:snapToGrid/>
        <w:spacing w:line="576" w:lineRule="exact"/>
        <w:ind w:firstLineChars="200"/>
        <w:textAlignment w:val="auto"/>
        <w:outlineLvl w:val="9"/>
        <w:rPr>
          <w:rFonts w:hint="eastAsia"/>
        </w:rPr>
      </w:pPr>
      <w:r>
        <w:rPr>
          <w:rFonts w:hint="eastAsia" w:ascii="黑体" w:hAnsi="黑体" w:eastAsia="黑体"/>
        </w:rPr>
        <w:t>第二十一条</w:t>
      </w:r>
      <w:r>
        <w:rPr>
          <w:rFonts w:hint="eastAsia"/>
          <w:lang w:eastAsia="zh-CN"/>
        </w:rPr>
        <w:t xml:space="preserve">  </w:t>
      </w:r>
      <w:r>
        <w:rPr>
          <w:rFonts w:hint="eastAsia"/>
        </w:rPr>
        <w:t>船舶所有权的取得、转让和灭失，应当按照国家规定办理登记手续。</w:t>
      </w:r>
    </w:p>
    <w:p>
      <w:pPr>
        <w:widowControl w:val="0"/>
        <w:adjustRightInd/>
        <w:snapToGrid/>
        <w:spacing w:line="576" w:lineRule="exact"/>
        <w:textAlignment w:val="auto"/>
        <w:outlineLvl w:val="9"/>
        <w:rPr>
          <w:rFonts w:hint="eastAsia"/>
        </w:rPr>
      </w:pPr>
      <w:r>
        <w:rPr>
          <w:rFonts w:hint="eastAsia"/>
        </w:rPr>
        <w:t>　　船舶交易应当接受水路交通管理机构的监督管理，无合法证件的船舶不得进入市场交易。</w:t>
      </w:r>
    </w:p>
    <w:p>
      <w:pPr>
        <w:widowControl w:val="0"/>
        <w:adjustRightInd/>
        <w:snapToGrid/>
        <w:spacing w:line="576" w:lineRule="exact"/>
        <w:ind w:firstLineChars="200"/>
        <w:textAlignment w:val="auto"/>
        <w:outlineLvl w:val="9"/>
        <w:rPr>
          <w:rFonts w:hint="eastAsia"/>
        </w:rPr>
      </w:pPr>
      <w:r>
        <w:rPr>
          <w:rFonts w:hint="eastAsia" w:ascii="黑体" w:hAnsi="黑体" w:eastAsia="黑体"/>
        </w:rPr>
        <w:t>第二十二条</w:t>
      </w:r>
      <w:r>
        <w:rPr>
          <w:rFonts w:hint="eastAsia"/>
          <w:lang w:eastAsia="zh-CN"/>
        </w:rPr>
        <w:t xml:space="preserve">  </w:t>
      </w:r>
      <w:r>
        <w:rPr>
          <w:rFonts w:hint="eastAsia"/>
        </w:rPr>
        <w:t>船舶应当以保障自身安全和不危及其他船舶和浮动设施、堤防安全的速度航行，不得违反航速限制。船舶、浮动设施停泊和作业应当按照规定配备值班人员，不得妨碍其他船舶的正常航行和危及设施、堤防安全，不得停泊在涵闸警戒区内。</w:t>
      </w:r>
    </w:p>
    <w:p>
      <w:pPr>
        <w:widowControl w:val="0"/>
        <w:adjustRightInd/>
        <w:snapToGrid/>
        <w:spacing w:line="576" w:lineRule="exact"/>
        <w:textAlignment w:val="auto"/>
        <w:outlineLvl w:val="9"/>
        <w:rPr>
          <w:rFonts w:hint="eastAsia"/>
        </w:rPr>
      </w:pPr>
      <w:r>
        <w:rPr>
          <w:rFonts w:hint="eastAsia"/>
        </w:rPr>
        <w:t>　　禁止船舶超载、超航区航行。禁止非载客船舶载客。禁止客船、旅游船客货混装和客船、渡船载客时装运危险物品。航道、船舶不具备夜航条件的，禁止夜间航行。禁止无船名船号、无船舶证书、无船籍港的船舶航行、作业。禁止内河封闭水域运输有毒有害危险货物。禁止使用已经报废的船舶从事水路运输。</w:t>
      </w:r>
    </w:p>
    <w:p>
      <w:pPr>
        <w:widowControl w:val="0"/>
        <w:adjustRightInd/>
        <w:snapToGrid/>
        <w:spacing w:line="576" w:lineRule="exact"/>
        <w:ind w:firstLineChars="200"/>
        <w:textAlignment w:val="auto"/>
        <w:outlineLvl w:val="9"/>
        <w:rPr>
          <w:rFonts w:hint="eastAsia"/>
        </w:rPr>
      </w:pPr>
      <w:r>
        <w:rPr>
          <w:rFonts w:hint="eastAsia" w:ascii="黑体" w:hAnsi="黑体" w:eastAsia="黑体"/>
        </w:rPr>
        <w:t>第二十三条</w:t>
      </w:r>
      <w:r>
        <w:rPr>
          <w:rFonts w:hint="eastAsia"/>
          <w:lang w:eastAsia="zh-CN"/>
        </w:rPr>
        <w:t xml:space="preserve">  </w:t>
      </w:r>
      <w:r>
        <w:rPr>
          <w:rFonts w:hint="eastAsia"/>
        </w:rPr>
        <w:t>船舶、浮动设施对交通安全、畅通造成严重危害的，海事管理机构可以采取必要措施紧急处置，费用和损失由船舶、浮动设施的所有者或者经营者承担。</w:t>
      </w:r>
    </w:p>
    <w:p>
      <w:pPr>
        <w:widowControl w:val="0"/>
        <w:adjustRightInd/>
        <w:snapToGrid/>
        <w:spacing w:line="576" w:lineRule="exact"/>
        <w:ind w:firstLineChars="200"/>
        <w:textAlignment w:val="auto"/>
        <w:outlineLvl w:val="9"/>
        <w:rPr>
          <w:rFonts w:hint="eastAsia"/>
        </w:rPr>
      </w:pPr>
      <w:r>
        <w:rPr>
          <w:rFonts w:hint="eastAsia" w:ascii="黑体" w:hAnsi="黑体" w:eastAsia="黑体"/>
        </w:rPr>
        <w:t>第二十四条</w:t>
      </w:r>
      <w:r>
        <w:rPr>
          <w:rFonts w:hint="eastAsia"/>
          <w:lang w:eastAsia="zh-CN"/>
        </w:rPr>
        <w:t xml:space="preserve">  </w:t>
      </w:r>
      <w:r>
        <w:rPr>
          <w:rFonts w:hint="eastAsia"/>
        </w:rPr>
        <w:t>船舶设计、制造、维修必须符合船舶检验规范、规程、规定的技术标准。</w:t>
      </w:r>
    </w:p>
    <w:p>
      <w:pPr>
        <w:widowControl w:val="0"/>
        <w:adjustRightInd/>
        <w:snapToGrid/>
        <w:spacing w:line="576" w:lineRule="exact"/>
        <w:ind w:firstLineChars="200"/>
        <w:textAlignment w:val="auto"/>
        <w:outlineLvl w:val="9"/>
        <w:rPr>
          <w:rFonts w:hint="eastAsia"/>
        </w:rPr>
      </w:pPr>
      <w:r>
        <w:rPr>
          <w:rFonts w:hint="eastAsia" w:ascii="黑体" w:hAnsi="黑体" w:eastAsia="黑体"/>
        </w:rPr>
        <w:t>第二十五条</w:t>
      </w:r>
      <w:r>
        <w:rPr>
          <w:rFonts w:hint="eastAsia"/>
          <w:lang w:eastAsia="zh-CN"/>
        </w:rPr>
        <w:t xml:space="preserve">  </w:t>
      </w:r>
      <w:r>
        <w:rPr>
          <w:rFonts w:hint="eastAsia"/>
        </w:rPr>
        <w:t>未经水路交通管理机构检验或检验不合格的船舶、浮动设施不得销售和使用。经检验合格的，应按规定签发相关的检验证书。</w:t>
      </w:r>
    </w:p>
    <w:p>
      <w:pPr>
        <w:widowControl w:val="0"/>
        <w:adjustRightInd/>
        <w:snapToGrid/>
        <w:spacing w:line="576" w:lineRule="exact"/>
        <w:ind w:firstLineChars="200"/>
        <w:textAlignment w:val="auto"/>
        <w:outlineLvl w:val="9"/>
        <w:rPr>
          <w:rFonts w:hint="eastAsia"/>
        </w:rPr>
      </w:pPr>
      <w:r>
        <w:rPr>
          <w:rFonts w:hint="eastAsia" w:ascii="黑体" w:hAnsi="黑体" w:eastAsia="黑体"/>
        </w:rPr>
        <w:t>第二十六条</w:t>
      </w:r>
      <w:r>
        <w:rPr>
          <w:rFonts w:hint="eastAsia"/>
          <w:lang w:eastAsia="zh-CN"/>
        </w:rPr>
        <w:t xml:space="preserve">  </w:t>
      </w:r>
      <w:r>
        <w:rPr>
          <w:rFonts w:hint="eastAsia"/>
        </w:rPr>
        <w:t>违反本条例有下列行为之一的，由水路交通管理机构予以处罚：</w:t>
      </w:r>
    </w:p>
    <w:p>
      <w:pPr>
        <w:widowControl w:val="0"/>
        <w:adjustRightInd/>
        <w:snapToGrid/>
        <w:spacing w:line="576" w:lineRule="exact"/>
        <w:textAlignment w:val="auto"/>
        <w:outlineLvl w:val="9"/>
        <w:rPr>
          <w:rFonts w:hint="eastAsia"/>
        </w:rPr>
      </w:pPr>
      <w:r>
        <w:rPr>
          <w:rFonts w:hint="eastAsia"/>
        </w:rPr>
        <w:t>　　（一）违反第七条规定的，责令其改正。造成航道损坏的，应依法赔偿损失，并处以不超过航道损失40％的罚款。</w:t>
      </w:r>
    </w:p>
    <w:p>
      <w:pPr>
        <w:widowControl w:val="0"/>
        <w:adjustRightInd/>
        <w:snapToGrid/>
        <w:spacing w:line="576" w:lineRule="exact"/>
        <w:textAlignment w:val="auto"/>
        <w:outlineLvl w:val="9"/>
        <w:rPr>
          <w:rFonts w:hint="eastAsia"/>
        </w:rPr>
      </w:pPr>
      <w:r>
        <w:rPr>
          <w:rFonts w:hint="eastAsia"/>
        </w:rPr>
        <w:t>　　（二）违反第十二条规定，未经水路交通管理机构批准而擅自进行客运及旅游航线营业的，责令其停止经营，没收违法所得，并处以违法所得1倍以下的罚款。未经批准擅自取消变更航线、停靠站点和班次的，责令其改正，并对拒不改正的，可处以100元以上2000元以下罚款。</w:t>
      </w:r>
    </w:p>
    <w:p>
      <w:pPr>
        <w:widowControl w:val="0"/>
        <w:adjustRightInd/>
        <w:snapToGrid/>
        <w:spacing w:line="576" w:lineRule="exact"/>
        <w:textAlignment w:val="auto"/>
        <w:outlineLvl w:val="9"/>
        <w:rPr>
          <w:rFonts w:hint="eastAsia"/>
        </w:rPr>
      </w:pPr>
      <w:r>
        <w:rPr>
          <w:rFonts w:hint="eastAsia"/>
        </w:rPr>
        <w:t>　　（三）违反第十三条、第二十条第一款、第二款、第二十一条、第二十二条规定的，责令其改正，并处以100元以上3000元以下罚款。</w:t>
      </w:r>
    </w:p>
    <w:p>
      <w:pPr>
        <w:widowControl w:val="0"/>
        <w:adjustRightInd/>
        <w:snapToGrid/>
        <w:spacing w:line="576" w:lineRule="exact"/>
        <w:textAlignment w:val="auto"/>
        <w:outlineLvl w:val="9"/>
        <w:rPr>
          <w:rFonts w:hint="eastAsia"/>
        </w:rPr>
      </w:pPr>
      <w:r>
        <w:rPr>
          <w:rFonts w:hint="eastAsia"/>
          <w:lang w:eastAsia="zh-CN"/>
        </w:rPr>
        <w:t xml:space="preserve">    </w:t>
      </w:r>
      <w:r>
        <w:rPr>
          <w:rFonts w:hint="eastAsia"/>
        </w:rPr>
        <w:t>本条例未作处罚规定的违法行为，国家法律、法规有规定的，从其规定。</w:t>
      </w:r>
    </w:p>
    <w:p>
      <w:pPr>
        <w:widowControl w:val="0"/>
        <w:adjustRightInd/>
        <w:snapToGrid/>
        <w:spacing w:line="576" w:lineRule="exact"/>
        <w:ind w:firstLineChars="200"/>
        <w:textAlignment w:val="auto"/>
        <w:outlineLvl w:val="9"/>
        <w:rPr>
          <w:rFonts w:hint="eastAsia"/>
        </w:rPr>
      </w:pPr>
      <w:r>
        <w:rPr>
          <w:rFonts w:hint="eastAsia" w:ascii="黑体" w:hAnsi="黑体" w:eastAsia="黑体"/>
        </w:rPr>
        <w:t>第二十七条</w:t>
      </w:r>
      <w:r>
        <w:rPr>
          <w:rFonts w:hint="eastAsia"/>
          <w:lang w:eastAsia="zh-CN"/>
        </w:rPr>
        <w:t xml:space="preserve">  </w:t>
      </w:r>
      <w:r>
        <w:rPr>
          <w:rFonts w:hint="eastAsia"/>
        </w:rPr>
        <w:t>水路交通管理机构的管理人员玩忽职守、滥用职权、乱收费、乱罚款、徇私舞弊的，由所在单位或者上级主管部门给予行政处分。构成犯罪的，由司法机关依法追究刑事责任。</w:t>
      </w:r>
    </w:p>
    <w:p>
      <w:pPr>
        <w:widowControl w:val="0"/>
        <w:adjustRightInd/>
        <w:snapToGrid/>
        <w:spacing w:line="576" w:lineRule="exact"/>
        <w:ind w:firstLineChars="200"/>
        <w:textAlignment w:val="auto"/>
        <w:outlineLvl w:val="9"/>
        <w:rPr>
          <w:rFonts w:hint="eastAsia"/>
          <w:spacing w:val="-11"/>
        </w:rPr>
      </w:pPr>
      <w:r>
        <w:rPr>
          <w:rFonts w:hint="eastAsia" w:ascii="黑体" w:hAnsi="黑体" w:eastAsia="黑体"/>
        </w:rPr>
        <w:t>第二十八条</w:t>
      </w:r>
      <w:r>
        <w:rPr>
          <w:rFonts w:hint="eastAsia"/>
          <w:lang w:eastAsia="zh-CN"/>
        </w:rPr>
        <w:t xml:space="preserve">  </w:t>
      </w:r>
      <w:r>
        <w:rPr>
          <w:rFonts w:hint="eastAsia"/>
          <w:spacing w:val="-11"/>
        </w:rPr>
        <w:t>水路交通事故处理办法，由省人民政府另行制定。</w:t>
      </w:r>
    </w:p>
    <w:p>
      <w:pPr>
        <w:widowControl w:val="0"/>
        <w:adjustRightInd/>
        <w:snapToGrid/>
        <w:spacing w:line="576" w:lineRule="exact"/>
        <w:ind w:firstLineChars="200"/>
        <w:textAlignment w:val="auto"/>
        <w:outlineLvl w:val="9"/>
        <w:rPr>
          <w:rFonts w:hint="eastAsia"/>
        </w:rPr>
      </w:pPr>
      <w:r>
        <w:rPr>
          <w:rFonts w:hint="eastAsia" w:ascii="黑体" w:hAnsi="黑体" w:eastAsia="黑体"/>
        </w:rPr>
        <w:t>第二十九条</w:t>
      </w:r>
      <w:r>
        <w:rPr>
          <w:rFonts w:hint="eastAsia"/>
          <w:lang w:eastAsia="zh-CN"/>
        </w:rPr>
        <w:t xml:space="preserve">  </w:t>
      </w:r>
      <w:r>
        <w:rPr>
          <w:rFonts w:hint="eastAsia"/>
        </w:rPr>
        <w:t>本条例自发布之日起施行。</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337450A4"/>
    <w:rsid w:val="337450A4"/>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character" w:default="1" w:styleId="4">
    <w:name w:val="Default Paragraph Font"/>
    <w:unhideWhenUsed/>
    <w:uiPriority w:val="0"/>
  </w:style>
  <w:style w:type="table" w:default="1" w:styleId="5">
    <w:name w:val="Normal Table"/>
    <w:unhideWhenUsed/>
    <w:uiPriority w:val="99"/>
    <w:tblPr>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2017-02-16T12:44:00Z</dcterms:created>
  <dc:creator>admin</dc:creator>
  <cp:lastModifiedBy>admin</cp:lastModifiedBy>
  <dcterms:modified xsi:type="dcterms:W3CDTF">2017-02-16T12:45:00Z</dcterms:modified>
  <dc:title>甘肃省水路交通管理条例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