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576" w:lineRule="exact"/>
        <w:ind w:left="0" w:leftChars="0" w:right="0" w:firstLine="0" w:firstLineChars="0"/>
        <w:jc w:val="center"/>
        <w:textAlignment w:val="auto"/>
        <w:outlineLvl w:val="9"/>
        <w:rPr>
          <w:rFonts w:hint="eastAsia"/>
        </w:rPr>
      </w:pPr>
      <w:bookmarkStart w:id="0" w:name="_GoBack"/>
      <w:bookmarkEnd w:id="0"/>
    </w:p>
    <w:p>
      <w:pPr>
        <w:widowControl w:val="0"/>
        <w:wordWrap/>
        <w:adjustRightInd/>
        <w:snapToGrid/>
        <w:spacing w:line="576" w:lineRule="exact"/>
        <w:ind w:left="0" w:leftChars="0" w:right="0" w:firstLine="0" w:firstLineChars="0"/>
        <w:jc w:val="center"/>
        <w:textAlignment w:val="auto"/>
        <w:outlineLvl w:val="9"/>
        <w:rPr>
          <w:rFonts w:hint="eastAsia"/>
        </w:rPr>
      </w:pPr>
    </w:p>
    <w:p>
      <w:pPr>
        <w:widowControl w:val="0"/>
        <w:wordWrap/>
        <w:adjustRightInd/>
        <w:snapToGrid/>
        <w:spacing w:line="576" w:lineRule="exact"/>
        <w:textAlignment w:val="auto"/>
        <w:outlineLvl w:val="9"/>
        <w:rPr>
          <w:rFonts w:hint="eastAsia"/>
        </w:rPr>
      </w:pPr>
    </w:p>
    <w:p>
      <w:pPr>
        <w:widowControl w:val="0"/>
        <w:wordWrap/>
        <w:adjustRightInd/>
        <w:snapToGrid/>
        <w:spacing w:line="576" w:lineRule="exact"/>
        <w:textAlignment w:val="auto"/>
        <w:outlineLvl w:val="9"/>
        <w:rPr>
          <w:rFonts w:hint="eastAsia"/>
        </w:rPr>
      </w:pPr>
    </w:p>
    <w:p>
      <w:pPr>
        <w:widowControl w:val="0"/>
        <w:wordWrap/>
        <w:adjustRightInd/>
        <w:snapToGrid/>
        <w:spacing w:line="576" w:lineRule="exact"/>
        <w:textAlignment w:val="auto"/>
        <w:outlineLvl w:val="9"/>
        <w:rPr>
          <w:rFonts w:hint="eastAsia"/>
        </w:rPr>
      </w:pPr>
    </w:p>
    <w:p>
      <w:pPr>
        <w:widowControl w:val="0"/>
        <w:wordWrap/>
        <w:adjustRightInd/>
        <w:snapToGrid/>
        <w:spacing w:line="576" w:lineRule="exact"/>
        <w:ind w:left="0" w:leftChars="0" w:right="0" w:firstLine="0" w:firstLineChars="0"/>
        <w:jc w:val="center"/>
        <w:textAlignment w:val="auto"/>
        <w:outlineLvl w:val="9"/>
        <w:rPr>
          <w:rFonts w:hint="eastAsia"/>
        </w:rPr>
      </w:pPr>
    </w:p>
    <w:p>
      <w:pPr>
        <w:widowControl w:val="0"/>
        <w:wordWrap/>
        <w:adjustRightInd/>
        <w:snapToGrid/>
        <w:spacing w:line="576" w:lineRule="exact"/>
        <w:ind w:left="0" w:leftChars="0" w:right="0" w:firstLine="0" w:firstLineChars="0"/>
        <w:jc w:val="center"/>
        <w:textAlignment w:val="auto"/>
        <w:outlineLvl w:val="9"/>
        <w:rPr>
          <w:rFonts w:hint="eastAsia"/>
        </w:rPr>
      </w:pPr>
    </w:p>
    <w:p>
      <w:pPr>
        <w:widowControl w:val="0"/>
        <w:wordWrap/>
        <w:adjustRightInd/>
        <w:snapToGrid/>
        <w:spacing w:line="576" w:lineRule="exact"/>
        <w:ind w:left="0" w:leftChars="0" w:right="0" w:firstLine="0" w:firstLineChars="0"/>
        <w:jc w:val="center"/>
        <w:textAlignment w:val="auto"/>
        <w:outlineLvl w:val="9"/>
        <w:rPr>
          <w:rFonts w:hint="eastAsia" w:ascii="宋体" w:hAnsi="宋体" w:eastAsia="宋体"/>
          <w:sz w:val="44"/>
        </w:rPr>
      </w:pPr>
    </w:p>
    <w:p>
      <w:pPr>
        <w:widowControl w:val="0"/>
        <w:wordWrap/>
        <w:adjustRightInd/>
        <w:snapToGrid/>
        <w:spacing w:line="576" w:lineRule="exact"/>
        <w:ind w:left="0" w:leftChars="0" w:right="0" w:firstLine="0" w:firstLineChars="0"/>
        <w:jc w:val="center"/>
        <w:textAlignment w:val="auto"/>
        <w:outlineLvl w:val="9"/>
        <w:rPr>
          <w:rFonts w:hint="eastAsia" w:ascii="宋体" w:hAnsi="宋体" w:eastAsia="宋体"/>
          <w:sz w:val="44"/>
        </w:rPr>
      </w:pPr>
    </w:p>
    <w:p>
      <w:pPr>
        <w:widowControl w:val="0"/>
        <w:wordWrap/>
        <w:adjustRightInd/>
        <w:snapToGrid/>
        <w:spacing w:line="576" w:lineRule="exact"/>
        <w:ind w:left="0" w:leftChars="0" w:right="0" w:firstLine="0" w:firstLineChars="0"/>
        <w:jc w:val="center"/>
        <w:textAlignment w:val="auto"/>
        <w:outlineLvl w:val="9"/>
        <w:rPr>
          <w:rFonts w:hint="eastAsia" w:ascii="宋体" w:hAnsi="宋体" w:eastAsia="宋体"/>
          <w:sz w:val="44"/>
        </w:rPr>
      </w:pPr>
      <w:r>
        <w:rPr>
          <w:rFonts w:hint="eastAsia" w:ascii="宋体" w:hAnsi="宋体" w:eastAsia="宋体"/>
          <w:sz w:val="44"/>
        </w:rPr>
        <w:t>甘肃省矿产储量管理条例</w:t>
      </w:r>
    </w:p>
    <w:p>
      <w:pPr>
        <w:widowControl w:val="0"/>
        <w:wordWrap/>
        <w:adjustRightInd/>
        <w:snapToGrid/>
        <w:spacing w:line="576" w:lineRule="exact"/>
        <w:ind w:left="0" w:leftChars="0" w:right="0" w:firstLine="0" w:firstLineChars="0"/>
        <w:jc w:val="center"/>
        <w:textAlignment w:val="auto"/>
        <w:outlineLvl w:val="9"/>
        <w:rPr>
          <w:rFonts w:hint="eastAsia" w:ascii="宋体" w:hAnsi="宋体" w:eastAsia="宋体"/>
          <w:sz w:val="44"/>
        </w:rPr>
      </w:pPr>
    </w:p>
    <w:p>
      <w:pPr>
        <w:widowControl w:val="0"/>
        <w:tabs>
          <w:tab w:val="left" w:pos="640"/>
        </w:tabs>
        <w:wordWrap/>
        <w:adjustRightInd/>
        <w:snapToGrid/>
        <w:spacing w:line="576" w:lineRule="exact"/>
        <w:ind w:left="1280" w:leftChars="200" w:rightChars="164" w:firstLine="0" w:firstLineChars="0"/>
        <w:jc w:val="both"/>
        <w:textAlignment w:val="auto"/>
        <w:outlineLvl w:val="9"/>
        <w:rPr>
          <w:rFonts w:hint="eastAsia" w:ascii="楷体_GB2312" w:hAnsi="楷体_GB2312" w:eastAsia="楷体_GB2312"/>
          <w:lang w:eastAsia="zh-CN"/>
        </w:rPr>
      </w:pPr>
      <w:r>
        <w:rPr>
          <w:rFonts w:hint="eastAsia" w:ascii="楷体_GB2312" w:hAnsi="楷体_GB2312" w:eastAsia="楷体_GB2312"/>
          <w:lang w:eastAsia="zh-CN"/>
        </w:rPr>
        <w:t>（</w:t>
      </w:r>
      <w:r>
        <w:rPr>
          <w:rFonts w:hint="eastAsia" w:ascii="楷体_GB2312" w:hAnsi="楷体_GB2312" w:eastAsia="楷体_GB2312"/>
        </w:rPr>
        <w:t>1994年8月3日</w:t>
      </w:r>
      <w:r>
        <w:rPr>
          <w:rFonts w:hint="eastAsia" w:ascii="楷体_GB2312" w:hAnsi="楷体_GB2312" w:eastAsia="楷体_GB2312"/>
          <w:lang w:eastAsia="zh-CN"/>
        </w:rPr>
        <w:t>甘肃</w:t>
      </w:r>
      <w:r>
        <w:rPr>
          <w:rFonts w:hint="eastAsia" w:ascii="楷体_GB2312" w:hAnsi="楷体_GB2312" w:eastAsia="楷体_GB2312"/>
        </w:rPr>
        <w:t>省八届人大常委会第十次会议通过</w:t>
      </w:r>
      <w:r>
        <w:rPr>
          <w:rFonts w:hint="eastAsia" w:ascii="楷体_GB2312" w:hAnsi="楷体_GB2312" w:eastAsia="楷体_GB2312"/>
          <w:lang w:eastAsia="zh-CN"/>
        </w:rPr>
        <w:t xml:space="preserve">  </w:t>
      </w:r>
      <w:r>
        <w:rPr>
          <w:rFonts w:hint="eastAsia" w:ascii="楷体_GB2312" w:hAnsi="楷体_GB2312" w:eastAsia="楷体_GB2312"/>
        </w:rPr>
        <w:t>1997年5月28日</w:t>
      </w:r>
      <w:r>
        <w:rPr>
          <w:rFonts w:hint="eastAsia" w:ascii="楷体_GB2312" w:hAnsi="楷体_GB2312" w:eastAsia="楷体_GB2312"/>
          <w:lang w:eastAsia="zh-CN"/>
        </w:rPr>
        <w:t>甘肃</w:t>
      </w:r>
      <w:r>
        <w:rPr>
          <w:rFonts w:hint="eastAsia" w:ascii="楷体_GB2312" w:hAnsi="楷体_GB2312" w:eastAsia="楷体_GB2312"/>
        </w:rPr>
        <w:t>省八届人大常委会第二十七次会议第一次修正</w:t>
      </w:r>
      <w:r>
        <w:rPr>
          <w:rFonts w:hint="eastAsia" w:ascii="楷体_GB2312" w:hAnsi="楷体_GB2312" w:eastAsia="楷体_GB2312"/>
          <w:lang w:eastAsia="zh-CN"/>
        </w:rPr>
        <w:t xml:space="preserve">  </w:t>
      </w:r>
      <w:r>
        <w:rPr>
          <w:rFonts w:hint="eastAsia" w:ascii="楷体_GB2312" w:hAnsi="楷体_GB2312" w:eastAsia="楷体_GB2312"/>
        </w:rPr>
        <w:t>2004年6月4日</w:t>
      </w:r>
      <w:r>
        <w:rPr>
          <w:rFonts w:hint="eastAsia" w:ascii="楷体_GB2312" w:hAnsi="楷体_GB2312" w:eastAsia="楷体_GB2312"/>
          <w:lang w:eastAsia="zh-CN"/>
        </w:rPr>
        <w:t>甘肃</w:t>
      </w:r>
      <w:r>
        <w:rPr>
          <w:rFonts w:hint="eastAsia" w:ascii="楷体_GB2312" w:hAnsi="楷体_GB2312" w:eastAsia="楷体_GB2312"/>
        </w:rPr>
        <w:t>省十届人大常委会第十次会议第二次修正</w:t>
      </w:r>
      <w:r>
        <w:rPr>
          <w:rFonts w:hint="eastAsia" w:ascii="楷体_GB2312" w:hAnsi="楷体_GB2312" w:eastAsia="楷体_GB2312"/>
          <w:lang w:eastAsia="zh-CN"/>
        </w:rPr>
        <w:t>）</w:t>
      </w:r>
    </w:p>
    <w:p>
      <w:pPr>
        <w:widowControl w:val="0"/>
        <w:wordWrap/>
        <w:adjustRightInd/>
        <w:snapToGrid/>
        <w:spacing w:line="576" w:lineRule="exact"/>
        <w:textAlignment w:val="auto"/>
        <w:outlineLvl w:val="9"/>
        <w:rPr>
          <w:rFonts w:hint="eastAsia" w:ascii="楷体_GB2312" w:hAnsi="楷体_GB2312" w:eastAsia="楷体_GB2312"/>
          <w:lang w:eastAsia="zh-CN"/>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第一章</w:t>
      </w:r>
      <w:r>
        <w:rPr>
          <w:rFonts w:hint="eastAsia" w:ascii="黑体" w:hAnsi="黑体" w:eastAsia="黑体"/>
          <w:lang w:eastAsia="zh-CN"/>
        </w:rPr>
        <w:t xml:space="preserve">  </w:t>
      </w:r>
      <w:r>
        <w:rPr>
          <w:rFonts w:hint="eastAsia" w:ascii="黑体" w:hAnsi="黑体" w:eastAsia="黑体"/>
        </w:rPr>
        <w:t>总则</w:t>
      </w:r>
    </w:p>
    <w:p>
      <w:pPr>
        <w:widowControl w:val="0"/>
        <w:wordWrap/>
        <w:adjustRightInd/>
        <w:snapToGrid/>
        <w:spacing w:line="576" w:lineRule="exact"/>
        <w:ind w:left="0" w:leftChars="0" w:right="0" w:firstLine="0" w:firstLineChars="0"/>
        <w:jc w:val="center"/>
        <w:textAlignment w:val="auto"/>
        <w:outlineLvl w:val="9"/>
        <w:rPr>
          <w:rFonts w:hint="eastAsia"/>
        </w:rPr>
      </w:pP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第一条</w:t>
      </w:r>
      <w:r>
        <w:rPr>
          <w:rFonts w:hint="eastAsia"/>
          <w:lang w:eastAsia="zh-CN"/>
        </w:rPr>
        <w:t xml:space="preserve">  </w:t>
      </w:r>
      <w:r>
        <w:rPr>
          <w:rFonts w:hint="eastAsia"/>
        </w:rPr>
        <w:t>为了加强矿产储量管理，充分利用和保护矿产资源，根据《中华人民共和国矿产资源法》、《中华人民共和国矿产资源法实施细则》和国家有关规定，结合本省实际，制定本条例。</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第二条</w:t>
      </w:r>
      <w:r>
        <w:rPr>
          <w:rFonts w:hint="eastAsia"/>
          <w:lang w:eastAsia="zh-CN"/>
        </w:rPr>
        <w:t xml:space="preserve">  </w:t>
      </w:r>
      <w:r>
        <w:rPr>
          <w:rFonts w:hint="eastAsia"/>
        </w:rPr>
        <w:t>在本省行政区域内从事地质勘查、矿山设计和矿产开发利用活动，必须遵守本条例。</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第三条</w:t>
      </w:r>
      <w:r>
        <w:rPr>
          <w:rFonts w:hint="eastAsia"/>
          <w:lang w:eastAsia="zh-CN"/>
        </w:rPr>
        <w:t xml:space="preserve">  </w:t>
      </w:r>
      <w:r>
        <w:rPr>
          <w:rFonts w:hint="eastAsia"/>
        </w:rPr>
        <w:t>矿产资源属于国家所有。矿产储量是投入资金探明的矿产资源。矿产储量管理实行合理开发与有效保护的方针，禁止任何组织或者个人非法侵占、开采、破坏和浪费矿产储量。</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第四条</w:t>
      </w:r>
      <w:r>
        <w:rPr>
          <w:rFonts w:hint="eastAsia"/>
          <w:lang w:eastAsia="zh-CN"/>
        </w:rPr>
        <w:t xml:space="preserve">  </w:t>
      </w:r>
      <w:r>
        <w:rPr>
          <w:rFonts w:hint="eastAsia"/>
        </w:rPr>
        <w:t>省矿产储量审批机构负责全省矿产储量审批，省人民政府地质矿产主管部门负责全省矿产储量管理工作。</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第五条</w:t>
      </w:r>
      <w:r>
        <w:rPr>
          <w:rFonts w:hint="eastAsia" w:ascii="黑体" w:hAnsi="黑体" w:eastAsia="黑体"/>
          <w:lang w:eastAsia="zh-CN"/>
        </w:rPr>
        <w:t xml:space="preserve">  </w:t>
      </w:r>
      <w:r>
        <w:rPr>
          <w:rFonts w:hint="eastAsia"/>
        </w:rPr>
        <w:t>市、州（地区）人民政府及县（市、区）人民政府地质矿产主管部门和有关工业主管部门、矿山企业按法定职责对本地区、本部门、本企业有关的矿产储量进行管理。业务上受省</w:t>
      </w:r>
      <w:r>
        <w:rPr>
          <w:rFonts w:hint="eastAsia"/>
          <w:spacing w:val="-5"/>
        </w:rPr>
        <w:t>矿产储量审批机构和省人民政府地质矿产主管部门的指导和监督。</w:t>
      </w:r>
    </w:p>
    <w:p>
      <w:pPr>
        <w:widowControl w:val="0"/>
        <w:wordWrap/>
        <w:adjustRightInd/>
        <w:snapToGrid/>
        <w:spacing w:line="576" w:lineRule="exact"/>
        <w:ind w:leftChars="0" w:firstLineChars="200"/>
        <w:textAlignment w:val="auto"/>
        <w:outlineLvl w:val="9"/>
        <w:rPr>
          <w:rFonts w:hint="eastAsia"/>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第二章</w:t>
      </w:r>
      <w:r>
        <w:rPr>
          <w:rFonts w:hint="eastAsia" w:ascii="黑体" w:hAnsi="黑体" w:eastAsia="黑体"/>
          <w:lang w:eastAsia="zh-CN"/>
        </w:rPr>
        <w:t xml:space="preserve">  </w:t>
      </w:r>
      <w:r>
        <w:rPr>
          <w:rFonts w:hint="eastAsia" w:ascii="黑体" w:hAnsi="黑体" w:eastAsia="黑体"/>
        </w:rPr>
        <w:t>矿产储量的审批</w:t>
      </w:r>
    </w:p>
    <w:p>
      <w:pPr>
        <w:widowControl w:val="0"/>
        <w:wordWrap/>
        <w:adjustRightInd/>
        <w:snapToGrid/>
        <w:spacing w:line="576" w:lineRule="exact"/>
        <w:ind w:left="0" w:leftChars="0" w:right="0" w:firstLine="0" w:firstLineChars="0"/>
        <w:jc w:val="center"/>
        <w:textAlignment w:val="auto"/>
        <w:outlineLvl w:val="9"/>
        <w:rPr>
          <w:rFonts w:hint="eastAsia"/>
        </w:rPr>
      </w:pP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第六条</w:t>
      </w:r>
      <w:r>
        <w:rPr>
          <w:rFonts w:hint="eastAsia" w:ascii="黑体" w:hAnsi="黑体" w:eastAsia="黑体"/>
          <w:lang w:eastAsia="zh-CN"/>
        </w:rPr>
        <w:t xml:space="preserve">  </w:t>
      </w:r>
      <w:r>
        <w:rPr>
          <w:rFonts w:hint="eastAsia"/>
        </w:rPr>
        <w:t>省矿产储量审批机构负责统一审批全省下列矿产勘查储量报告：</w:t>
      </w:r>
    </w:p>
    <w:p>
      <w:pPr>
        <w:widowControl w:val="0"/>
        <w:wordWrap/>
        <w:adjustRightInd/>
        <w:snapToGrid/>
        <w:spacing w:line="576" w:lineRule="exact"/>
        <w:ind w:leftChars="0" w:firstLineChars="200"/>
        <w:textAlignment w:val="auto"/>
        <w:outlineLvl w:val="9"/>
        <w:rPr>
          <w:rFonts w:hint="eastAsia"/>
        </w:rPr>
      </w:pPr>
      <w:r>
        <w:rPr>
          <w:rFonts w:hint="eastAsia"/>
        </w:rPr>
        <w:t>（一）供矿山建设使用的一般大型、中型、小型矿床勘查储量报告；</w:t>
      </w:r>
    </w:p>
    <w:p>
      <w:pPr>
        <w:widowControl w:val="0"/>
        <w:wordWrap/>
        <w:adjustRightInd/>
        <w:snapToGrid/>
        <w:spacing w:line="576" w:lineRule="exact"/>
        <w:ind w:leftChars="0" w:firstLineChars="200"/>
        <w:textAlignment w:val="auto"/>
        <w:outlineLvl w:val="9"/>
        <w:rPr>
          <w:rFonts w:hint="eastAsia"/>
        </w:rPr>
      </w:pPr>
      <w:r>
        <w:rPr>
          <w:rFonts w:hint="eastAsia"/>
        </w:rPr>
        <w:t>（二）供中型、小型水源地建设使用的地下水勘查储量报告；</w:t>
      </w:r>
    </w:p>
    <w:p>
      <w:pPr>
        <w:widowControl w:val="0"/>
        <w:wordWrap/>
        <w:adjustRightInd/>
        <w:snapToGrid/>
        <w:spacing w:line="576" w:lineRule="exact"/>
        <w:ind w:leftChars="0" w:firstLineChars="200"/>
        <w:textAlignment w:val="auto"/>
        <w:outlineLvl w:val="9"/>
        <w:rPr>
          <w:rFonts w:hint="eastAsia"/>
        </w:rPr>
      </w:pPr>
      <w:r>
        <w:rPr>
          <w:rFonts w:hint="eastAsia"/>
        </w:rPr>
        <w:t>（三）作为矿山和地下水水源地项目建议书使用的详查地质报告；</w:t>
      </w:r>
    </w:p>
    <w:p>
      <w:pPr>
        <w:widowControl w:val="0"/>
        <w:wordWrap/>
        <w:adjustRightInd/>
        <w:snapToGrid/>
        <w:spacing w:line="576" w:lineRule="exact"/>
        <w:ind w:leftChars="0" w:firstLineChars="200"/>
        <w:textAlignment w:val="auto"/>
        <w:outlineLvl w:val="9"/>
        <w:rPr>
          <w:rFonts w:hint="eastAsia"/>
        </w:rPr>
      </w:pPr>
      <w:r>
        <w:rPr>
          <w:rFonts w:hint="eastAsia"/>
        </w:rPr>
        <w:t>（四）已批准的报告，由于工业指标的改变或者其他原因引起矿产和地下水储量重大变化而重新编制的报告；</w:t>
      </w:r>
    </w:p>
    <w:p>
      <w:pPr>
        <w:widowControl w:val="0"/>
        <w:wordWrap/>
        <w:adjustRightInd/>
        <w:snapToGrid/>
        <w:spacing w:line="576" w:lineRule="exact"/>
        <w:ind w:leftChars="0" w:firstLineChars="200"/>
        <w:textAlignment w:val="auto"/>
        <w:outlineLvl w:val="9"/>
        <w:rPr>
          <w:rFonts w:hint="eastAsia"/>
        </w:rPr>
      </w:pPr>
      <w:r>
        <w:rPr>
          <w:rFonts w:hint="eastAsia"/>
        </w:rPr>
        <w:t>（五）供矿山、地下水水源地改建或者扩建设计使用的补充勘探报告；</w:t>
      </w:r>
    </w:p>
    <w:p>
      <w:pPr>
        <w:widowControl w:val="0"/>
        <w:wordWrap/>
        <w:adjustRightInd/>
        <w:snapToGrid/>
        <w:spacing w:line="576" w:lineRule="exact"/>
        <w:ind w:leftChars="0" w:firstLineChars="200"/>
        <w:textAlignment w:val="auto"/>
        <w:outlineLvl w:val="9"/>
        <w:rPr>
          <w:rFonts w:hint="eastAsia"/>
        </w:rPr>
      </w:pPr>
      <w:r>
        <w:rPr>
          <w:rFonts w:hint="eastAsia"/>
        </w:rPr>
        <w:t>（六）</w:t>
      </w:r>
      <w:r>
        <w:rPr>
          <w:rFonts w:hint="eastAsia"/>
          <w:spacing w:val="-6"/>
        </w:rPr>
        <w:t>与原批准储量变化较大的矿山基建和生产勘探储量报告；</w:t>
      </w:r>
    </w:p>
    <w:p>
      <w:pPr>
        <w:widowControl w:val="0"/>
        <w:wordWrap/>
        <w:adjustRightInd/>
        <w:snapToGrid/>
        <w:spacing w:line="576" w:lineRule="exact"/>
        <w:ind w:leftChars="0" w:firstLineChars="200"/>
        <w:textAlignment w:val="auto"/>
        <w:outlineLvl w:val="9"/>
        <w:rPr>
          <w:rFonts w:hint="eastAsia"/>
        </w:rPr>
      </w:pPr>
      <w:r>
        <w:rPr>
          <w:rFonts w:hint="eastAsia"/>
        </w:rPr>
        <w:t>（七）矿山闭坑储量注销报告。</w:t>
      </w:r>
    </w:p>
    <w:p>
      <w:pPr>
        <w:widowControl w:val="0"/>
        <w:wordWrap/>
        <w:adjustRightInd/>
        <w:snapToGrid/>
        <w:spacing w:line="576" w:lineRule="exact"/>
        <w:ind w:leftChars="0" w:firstLineChars="200"/>
        <w:textAlignment w:val="auto"/>
        <w:outlineLvl w:val="9"/>
        <w:rPr>
          <w:rFonts w:hint="eastAsia"/>
        </w:rPr>
      </w:pPr>
      <w:r>
        <w:rPr>
          <w:rFonts w:hint="eastAsia"/>
        </w:rPr>
        <w:t>勘查储量报告未经批准，不得作为矿山和地下水水源地设计建设的依据。</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第七条</w:t>
      </w:r>
      <w:r>
        <w:rPr>
          <w:rFonts w:hint="eastAsia" w:ascii="黑体" w:hAnsi="黑体" w:eastAsia="黑体"/>
          <w:lang w:eastAsia="zh-CN"/>
        </w:rPr>
        <w:t xml:space="preserve">  </w:t>
      </w:r>
      <w:r>
        <w:rPr>
          <w:rFonts w:hint="eastAsia"/>
        </w:rPr>
        <w:t>报送省矿产储量审批机构审批的矿产勘查储量报告，应当资料齐全，并有以下附件：</w:t>
      </w:r>
    </w:p>
    <w:p>
      <w:pPr>
        <w:widowControl w:val="0"/>
        <w:wordWrap/>
        <w:adjustRightInd/>
        <w:snapToGrid/>
        <w:spacing w:line="576" w:lineRule="exact"/>
        <w:ind w:leftChars="0" w:firstLineChars="200"/>
        <w:textAlignment w:val="auto"/>
        <w:outlineLvl w:val="9"/>
        <w:rPr>
          <w:rFonts w:hint="eastAsia"/>
        </w:rPr>
      </w:pPr>
      <w:r>
        <w:rPr>
          <w:rFonts w:hint="eastAsia"/>
        </w:rPr>
        <w:t>（一）上级主管部门下达的项目任务书，或者使用单位的委托书，或者与使用单位签定的合同书；</w:t>
      </w:r>
    </w:p>
    <w:p>
      <w:pPr>
        <w:widowControl w:val="0"/>
        <w:wordWrap/>
        <w:adjustRightInd/>
        <w:snapToGrid/>
        <w:spacing w:line="576" w:lineRule="exact"/>
        <w:ind w:leftChars="0" w:firstLineChars="200"/>
        <w:textAlignment w:val="auto"/>
        <w:outlineLvl w:val="9"/>
        <w:rPr>
          <w:rFonts w:hint="eastAsia"/>
        </w:rPr>
      </w:pPr>
      <w:r>
        <w:rPr>
          <w:rFonts w:hint="eastAsia"/>
        </w:rPr>
        <w:t>（二）勘查主管部门确认该报告可以提交省矿产储量审批机构审批的审查意见书；</w:t>
      </w:r>
    </w:p>
    <w:p>
      <w:pPr>
        <w:widowControl w:val="0"/>
        <w:wordWrap/>
        <w:adjustRightInd/>
        <w:snapToGrid/>
        <w:spacing w:line="576" w:lineRule="exact"/>
        <w:ind w:leftChars="0" w:firstLineChars="200"/>
        <w:textAlignment w:val="auto"/>
        <w:outlineLvl w:val="9"/>
        <w:rPr>
          <w:rFonts w:hint="eastAsia"/>
        </w:rPr>
      </w:pPr>
      <w:r>
        <w:rPr>
          <w:rFonts w:hint="eastAsia"/>
        </w:rPr>
        <w:t>（三）国务院矿产储量审批机构或者省矿产储量审批机构下达的矿床工业指标及设计部门推荐工业指标时的技术经济研究论证报告；</w:t>
      </w:r>
    </w:p>
    <w:p>
      <w:pPr>
        <w:widowControl w:val="0"/>
        <w:wordWrap/>
        <w:adjustRightInd/>
        <w:snapToGrid/>
        <w:spacing w:line="576" w:lineRule="exact"/>
        <w:ind w:leftChars="0" w:firstLineChars="200"/>
        <w:textAlignment w:val="auto"/>
        <w:outlineLvl w:val="9"/>
        <w:rPr>
          <w:rFonts w:hint="eastAsia"/>
        </w:rPr>
      </w:pPr>
      <w:r>
        <w:rPr>
          <w:rFonts w:hint="eastAsia"/>
        </w:rPr>
        <w:t>（四）矿石加工技术试验研究报告；</w:t>
      </w:r>
    </w:p>
    <w:p>
      <w:pPr>
        <w:widowControl w:val="0"/>
        <w:wordWrap/>
        <w:adjustRightInd/>
        <w:snapToGrid/>
        <w:spacing w:line="576" w:lineRule="exact"/>
        <w:ind w:leftChars="0" w:firstLineChars="200"/>
        <w:textAlignment w:val="auto"/>
        <w:outlineLvl w:val="9"/>
        <w:rPr>
          <w:rFonts w:hint="eastAsia"/>
        </w:rPr>
      </w:pPr>
      <w:r>
        <w:rPr>
          <w:rFonts w:hint="eastAsia"/>
        </w:rPr>
        <w:t>（五）其他有关专项研究报告。</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第八条</w:t>
      </w:r>
      <w:r>
        <w:rPr>
          <w:rFonts w:hint="eastAsia" w:ascii="黑体" w:hAnsi="黑体" w:eastAsia="黑体"/>
          <w:lang w:eastAsia="zh-CN"/>
        </w:rPr>
        <w:t xml:space="preserve">  </w:t>
      </w:r>
      <w:r>
        <w:rPr>
          <w:rFonts w:hint="eastAsia"/>
        </w:rPr>
        <w:t>省矿产储量审批机构负责统一审批下达除国务院矿产储量审批机构审批下达之外的矿床工业指标。</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第九条</w:t>
      </w:r>
      <w:r>
        <w:rPr>
          <w:rFonts w:hint="eastAsia" w:ascii="黑体" w:hAnsi="黑体" w:eastAsia="黑体"/>
          <w:lang w:eastAsia="zh-CN"/>
        </w:rPr>
        <w:t xml:space="preserve">  </w:t>
      </w:r>
      <w:r>
        <w:rPr>
          <w:rFonts w:hint="eastAsia"/>
        </w:rPr>
        <w:t>有下列情况之一的矿产勘查储量报告，不予批准：</w:t>
      </w:r>
    </w:p>
    <w:p>
      <w:pPr>
        <w:widowControl w:val="0"/>
        <w:wordWrap/>
        <w:adjustRightInd/>
        <w:snapToGrid/>
        <w:spacing w:line="576" w:lineRule="exact"/>
        <w:ind w:leftChars="0" w:firstLineChars="200"/>
        <w:textAlignment w:val="auto"/>
        <w:outlineLvl w:val="9"/>
        <w:rPr>
          <w:rFonts w:hint="eastAsia"/>
        </w:rPr>
      </w:pPr>
      <w:r>
        <w:rPr>
          <w:rFonts w:hint="eastAsia"/>
        </w:rPr>
        <w:t>（一）对矿床内具有工业价值的共生、伴生矿产未作综合评价和储量计算的；</w:t>
      </w:r>
    </w:p>
    <w:p>
      <w:pPr>
        <w:widowControl w:val="0"/>
        <w:wordWrap/>
        <w:adjustRightInd/>
        <w:snapToGrid/>
        <w:spacing w:line="576" w:lineRule="exact"/>
        <w:ind w:leftChars="0" w:firstLineChars="200"/>
        <w:textAlignment w:val="auto"/>
        <w:outlineLvl w:val="9"/>
        <w:rPr>
          <w:rFonts w:hint="eastAsia"/>
        </w:rPr>
      </w:pPr>
      <w:r>
        <w:rPr>
          <w:rFonts w:hint="eastAsia"/>
        </w:rPr>
        <w:t>（二）</w:t>
      </w:r>
      <w:r>
        <w:rPr>
          <w:rFonts w:hint="eastAsia"/>
          <w:spacing w:val="-15"/>
        </w:rPr>
        <w:t>勘查工作质量不合格或者控制程度不足，需要补做工作的；</w:t>
      </w:r>
    </w:p>
    <w:p>
      <w:pPr>
        <w:widowControl w:val="0"/>
        <w:wordWrap/>
        <w:adjustRightInd/>
        <w:snapToGrid/>
        <w:spacing w:line="576" w:lineRule="exact"/>
        <w:ind w:leftChars="0" w:firstLineChars="200"/>
        <w:textAlignment w:val="auto"/>
        <w:outlineLvl w:val="9"/>
        <w:rPr>
          <w:rFonts w:hint="eastAsia"/>
        </w:rPr>
      </w:pPr>
      <w:r>
        <w:rPr>
          <w:rFonts w:hint="eastAsia"/>
        </w:rPr>
        <w:t>（三）矿产勘查储量报告需要作重大修改、补充，未按省矿产储量审批机构规定的期限完成的。</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第十条</w:t>
      </w:r>
      <w:r>
        <w:rPr>
          <w:rFonts w:hint="eastAsia" w:ascii="黑体" w:hAnsi="黑体" w:eastAsia="黑体"/>
          <w:lang w:eastAsia="zh-CN"/>
        </w:rPr>
        <w:t xml:space="preserve">  </w:t>
      </w:r>
      <w:r>
        <w:rPr>
          <w:rFonts w:hint="eastAsia"/>
        </w:rPr>
        <w:t>省矿产储量审批机构审批报告必须按照国家统一颁布的有关规范、规程及规定的要求进行。</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第十一条</w:t>
      </w:r>
      <w:r>
        <w:rPr>
          <w:rFonts w:hint="eastAsia" w:ascii="黑体" w:hAnsi="黑体" w:eastAsia="黑体"/>
          <w:lang w:eastAsia="zh-CN"/>
        </w:rPr>
        <w:t xml:space="preserve">  </w:t>
      </w:r>
      <w:r>
        <w:rPr>
          <w:rFonts w:hint="eastAsia"/>
        </w:rPr>
        <w:t>省矿产储量审批机构在审查矿产勘查储量报告时，应当邀请工业主管部门、生产部门、设计单位、地质勘查单位及有关部门参加，听取意见和建议，提出审查意见书。</w:t>
      </w:r>
    </w:p>
    <w:p>
      <w:pPr>
        <w:widowControl w:val="0"/>
        <w:wordWrap/>
        <w:adjustRightInd/>
        <w:snapToGrid/>
        <w:spacing w:line="576" w:lineRule="exact"/>
        <w:ind w:leftChars="0" w:firstLineChars="200"/>
        <w:textAlignment w:val="auto"/>
        <w:outlineLvl w:val="9"/>
        <w:rPr>
          <w:rFonts w:hint="eastAsia"/>
        </w:rPr>
      </w:pPr>
      <w:r>
        <w:rPr>
          <w:rFonts w:hint="eastAsia"/>
        </w:rPr>
        <w:t>地质勘查单位收到审查意见书后，必须根据审查意见进行修改补充，按规定的期限报省矿产储量审批机构。</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第十二条</w:t>
      </w:r>
      <w:r>
        <w:rPr>
          <w:rFonts w:hint="eastAsia" w:ascii="黑体" w:hAnsi="黑体" w:eastAsia="黑体"/>
          <w:lang w:eastAsia="zh-CN"/>
        </w:rPr>
        <w:t xml:space="preserve">  </w:t>
      </w:r>
      <w:r>
        <w:rPr>
          <w:rFonts w:hint="eastAsia"/>
        </w:rPr>
        <w:t>省矿产储量审批机构收到矿产勘查储量报告后，应当在6个月内批复。</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第十三条</w:t>
      </w:r>
      <w:r>
        <w:rPr>
          <w:rFonts w:hint="eastAsia" w:ascii="黑体" w:hAnsi="黑体" w:eastAsia="黑体"/>
          <w:lang w:eastAsia="zh-CN"/>
        </w:rPr>
        <w:t xml:space="preserve">  </w:t>
      </w:r>
      <w:r>
        <w:rPr>
          <w:rFonts w:hint="eastAsia"/>
        </w:rPr>
        <w:t>供进一步勘查工作使用的普查、详查阶段的地质勘查报告，由地质勘查部门和有关部门审批，审批单位应将其中的矿产储量报省人民政府地质矿产主管部门备案。</w:t>
      </w:r>
    </w:p>
    <w:p>
      <w:pPr>
        <w:widowControl w:val="0"/>
        <w:wordWrap/>
        <w:adjustRightInd/>
        <w:snapToGrid/>
        <w:spacing w:line="576" w:lineRule="exact"/>
        <w:ind w:leftChars="0" w:firstLineChars="200"/>
        <w:textAlignment w:val="auto"/>
        <w:outlineLvl w:val="9"/>
        <w:rPr>
          <w:rFonts w:hint="eastAsia"/>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第三章</w:t>
      </w:r>
      <w:r>
        <w:rPr>
          <w:rFonts w:hint="eastAsia" w:ascii="黑体" w:hAnsi="黑体" w:eastAsia="黑体"/>
          <w:lang w:eastAsia="zh-CN"/>
        </w:rPr>
        <w:t xml:space="preserve">  </w:t>
      </w:r>
      <w:r>
        <w:rPr>
          <w:rFonts w:hint="eastAsia" w:ascii="黑体" w:hAnsi="黑体" w:eastAsia="黑体"/>
        </w:rPr>
        <w:t>矿产储量的管理</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rPr>
      </w:pP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第十四条</w:t>
      </w:r>
      <w:r>
        <w:rPr>
          <w:rFonts w:hint="eastAsia" w:ascii="黑体" w:hAnsi="黑体" w:eastAsia="黑体"/>
          <w:lang w:eastAsia="zh-CN"/>
        </w:rPr>
        <w:t xml:space="preserve">  </w:t>
      </w:r>
      <w:r>
        <w:rPr>
          <w:rFonts w:hint="eastAsia"/>
        </w:rPr>
        <w:t>省人民政府地质矿产主管部门负责对全省矿产储量的形势和变化进行统计分析，编制矿山和地下水水源地建设利用的新增储量年报，提供有关部门应用。</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第十五条</w:t>
      </w:r>
      <w:r>
        <w:rPr>
          <w:rFonts w:hint="eastAsia" w:ascii="黑体" w:hAnsi="黑体" w:eastAsia="黑体"/>
          <w:lang w:eastAsia="zh-CN"/>
        </w:rPr>
        <w:t xml:space="preserve">  </w:t>
      </w:r>
      <w:r>
        <w:rPr>
          <w:rFonts w:hint="eastAsia"/>
        </w:rPr>
        <w:t>省人民政府地质矿产主管部门参与矿山可行性研究、设计方案的审批，对储量的合理利用、综合利用进行监督。</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第十六条</w:t>
      </w:r>
      <w:r>
        <w:rPr>
          <w:rFonts w:hint="eastAsia" w:ascii="黑体" w:hAnsi="黑体" w:eastAsia="黑体"/>
          <w:lang w:eastAsia="zh-CN"/>
        </w:rPr>
        <w:t xml:space="preserve">  </w:t>
      </w:r>
      <w:r>
        <w:rPr>
          <w:rFonts w:hint="eastAsia"/>
        </w:rPr>
        <w:t>矿山企业在生产过程中，对已经形成或者即将形成的矿产储量的非正常损失，应当提出矿产储量非正常损失注销报告，由矿山企业的主管部门审核后，报省地质矿产主管部门会同省矿产储量审批管理机构注销。</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第十七条</w:t>
      </w:r>
      <w:r>
        <w:rPr>
          <w:rFonts w:hint="eastAsia" w:ascii="黑体" w:hAnsi="黑体" w:eastAsia="黑体"/>
          <w:lang w:eastAsia="zh-CN"/>
        </w:rPr>
        <w:t xml:space="preserve">  </w:t>
      </w:r>
      <w:r>
        <w:rPr>
          <w:rFonts w:hint="eastAsia"/>
        </w:rPr>
        <w:t>矿山企业由于矿产储量的枯竭要求闭坑时，必须事先提出闭坑储量注销报告，依照《中华人民共和国矿产资源法实施细则》的规定办理有关审批手续后，予以闭坑。</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第十八条</w:t>
      </w:r>
      <w:r>
        <w:rPr>
          <w:rFonts w:hint="eastAsia" w:ascii="黑体" w:hAnsi="黑体" w:eastAsia="黑体"/>
          <w:lang w:eastAsia="zh-CN"/>
        </w:rPr>
        <w:t xml:space="preserve">  </w:t>
      </w:r>
      <w:r>
        <w:rPr>
          <w:rFonts w:hint="eastAsia"/>
        </w:rPr>
        <w:t>市、州（地区）人民政府及县（市、区）人民政府地质矿产主管部门在矿产储量管理方面的职责是：</w:t>
      </w:r>
    </w:p>
    <w:p>
      <w:pPr>
        <w:widowControl w:val="0"/>
        <w:wordWrap/>
        <w:adjustRightInd/>
        <w:snapToGrid/>
        <w:spacing w:line="576" w:lineRule="exact"/>
        <w:ind w:leftChars="0" w:firstLineChars="200"/>
        <w:textAlignment w:val="auto"/>
        <w:outlineLvl w:val="9"/>
        <w:rPr>
          <w:rFonts w:hint="eastAsia"/>
        </w:rPr>
      </w:pPr>
      <w:r>
        <w:rPr>
          <w:rFonts w:hint="eastAsia"/>
        </w:rPr>
        <w:t>（一）指导和监督本地区矿山企业矿产储量管理工作；</w:t>
      </w:r>
    </w:p>
    <w:p>
      <w:pPr>
        <w:widowControl w:val="0"/>
        <w:wordWrap/>
        <w:adjustRightInd/>
        <w:snapToGrid/>
        <w:spacing w:line="576" w:lineRule="exact"/>
        <w:ind w:leftChars="0" w:firstLineChars="200"/>
        <w:textAlignment w:val="auto"/>
        <w:outlineLvl w:val="9"/>
        <w:rPr>
          <w:rFonts w:hint="eastAsia"/>
        </w:rPr>
      </w:pPr>
      <w:r>
        <w:rPr>
          <w:rFonts w:hint="eastAsia"/>
        </w:rPr>
        <w:t>（二）负责本地区零星分散的小矿体或者矿点、矿山闭坑后的残留矿体及不具备设计条件的小矿的储量管理工作；</w:t>
      </w:r>
    </w:p>
    <w:p>
      <w:pPr>
        <w:widowControl w:val="0"/>
        <w:wordWrap/>
        <w:adjustRightInd/>
        <w:snapToGrid/>
        <w:spacing w:line="576" w:lineRule="exact"/>
        <w:ind w:leftChars="0" w:firstLineChars="200"/>
        <w:textAlignment w:val="auto"/>
        <w:outlineLvl w:val="9"/>
        <w:rPr>
          <w:rFonts w:hint="eastAsia"/>
        </w:rPr>
      </w:pPr>
      <w:r>
        <w:rPr>
          <w:rFonts w:hint="eastAsia"/>
        </w:rPr>
        <w:t>（三）负责汇总本地区矿产储量的利用、损失、保有等资料；</w:t>
      </w:r>
    </w:p>
    <w:p>
      <w:pPr>
        <w:widowControl w:val="0"/>
        <w:wordWrap/>
        <w:adjustRightInd/>
        <w:snapToGrid/>
        <w:spacing w:line="576" w:lineRule="exact"/>
        <w:ind w:leftChars="0" w:firstLineChars="200"/>
        <w:textAlignment w:val="auto"/>
        <w:outlineLvl w:val="9"/>
        <w:rPr>
          <w:rFonts w:hint="eastAsia"/>
        </w:rPr>
      </w:pPr>
      <w:r>
        <w:rPr>
          <w:rFonts w:hint="eastAsia"/>
        </w:rPr>
        <w:t>（四）办理省矿产储量审批机构委托和省人民政府地质矿产主管部门交办的有关工作。</w:t>
      </w:r>
    </w:p>
    <w:p>
      <w:pPr>
        <w:widowControl w:val="0"/>
        <w:wordWrap/>
        <w:adjustRightInd/>
        <w:snapToGrid/>
        <w:spacing w:line="576" w:lineRule="exact"/>
        <w:ind w:leftChars="0" w:firstLineChars="200"/>
        <w:textAlignment w:val="auto"/>
        <w:outlineLvl w:val="9"/>
        <w:rPr>
          <w:rFonts w:hint="eastAsia"/>
          <w:spacing w:val="-7"/>
        </w:rPr>
      </w:pPr>
      <w:r>
        <w:rPr>
          <w:rFonts w:hint="eastAsia" w:ascii="黑体" w:hAnsi="黑体" w:eastAsia="黑体"/>
        </w:rPr>
        <w:t>第十九条</w:t>
      </w:r>
      <w:r>
        <w:rPr>
          <w:rFonts w:hint="eastAsia" w:ascii="黑体" w:hAnsi="黑体" w:eastAsia="黑体"/>
          <w:lang w:eastAsia="zh-CN"/>
        </w:rPr>
        <w:t xml:space="preserve">  </w:t>
      </w:r>
      <w:r>
        <w:rPr>
          <w:rFonts w:hint="eastAsia"/>
          <w:spacing w:val="-7"/>
        </w:rPr>
        <w:t>有关工业主管部门在矿产储量管理方面的职责是：</w:t>
      </w:r>
    </w:p>
    <w:p>
      <w:pPr>
        <w:widowControl w:val="0"/>
        <w:wordWrap/>
        <w:adjustRightInd/>
        <w:snapToGrid/>
        <w:spacing w:line="576" w:lineRule="exact"/>
        <w:ind w:leftChars="0" w:firstLineChars="200"/>
        <w:textAlignment w:val="auto"/>
        <w:outlineLvl w:val="9"/>
        <w:rPr>
          <w:rFonts w:hint="eastAsia"/>
        </w:rPr>
      </w:pPr>
      <w:r>
        <w:rPr>
          <w:rFonts w:hint="eastAsia"/>
        </w:rPr>
        <w:t>（一）对所属矿山企业矿产储量管理工作进行指导和监督；</w:t>
      </w:r>
    </w:p>
    <w:p>
      <w:pPr>
        <w:widowControl w:val="0"/>
        <w:wordWrap/>
        <w:adjustRightInd/>
        <w:snapToGrid/>
        <w:spacing w:line="576" w:lineRule="exact"/>
        <w:ind w:leftChars="0" w:firstLineChars="200"/>
        <w:textAlignment w:val="auto"/>
        <w:outlineLvl w:val="9"/>
        <w:rPr>
          <w:rFonts w:hint="eastAsia"/>
        </w:rPr>
      </w:pPr>
      <w:r>
        <w:rPr>
          <w:rFonts w:hint="eastAsia"/>
        </w:rPr>
        <w:t>（二）负责审查矿产储量的正常核减；</w:t>
      </w:r>
    </w:p>
    <w:p>
      <w:pPr>
        <w:widowControl w:val="0"/>
        <w:wordWrap/>
        <w:adjustRightInd/>
        <w:snapToGrid/>
        <w:spacing w:line="576" w:lineRule="exact"/>
        <w:ind w:leftChars="0" w:firstLineChars="200"/>
        <w:textAlignment w:val="auto"/>
        <w:outlineLvl w:val="9"/>
        <w:rPr>
          <w:rFonts w:hint="eastAsia"/>
        </w:rPr>
      </w:pPr>
      <w:r>
        <w:rPr>
          <w:rFonts w:hint="eastAsia"/>
        </w:rPr>
        <w:t>（三）对所属矿山企业基建、生产勘探中所探求的储量，与原批准储量相对误差特大型矿床小于百分之五、大型矿床小于百分之五至十、中型矿床小于百分之十至二十、小型矿床小于百分之二十至三十的报告负责审查，将审查意见报省矿产储量审批机构备案，对储量变化大于上述相对误差的储量报告，提出审查意见，报省矿产储量审批机构审批；</w:t>
      </w:r>
    </w:p>
    <w:p>
      <w:pPr>
        <w:widowControl w:val="0"/>
        <w:wordWrap/>
        <w:adjustRightInd/>
        <w:snapToGrid/>
        <w:spacing w:line="576" w:lineRule="exact"/>
        <w:ind w:leftChars="0" w:firstLineChars="200"/>
        <w:textAlignment w:val="auto"/>
        <w:outlineLvl w:val="9"/>
        <w:rPr>
          <w:rFonts w:hint="eastAsia"/>
        </w:rPr>
      </w:pPr>
      <w:r>
        <w:rPr>
          <w:rFonts w:hint="eastAsia"/>
        </w:rPr>
        <w:t>（四）负责汇总本部门管理的矿产储量利用、损失、保有等资料。</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第二十条</w:t>
      </w:r>
      <w:r>
        <w:rPr>
          <w:rFonts w:hint="eastAsia" w:ascii="黑体" w:hAnsi="黑体" w:eastAsia="黑体"/>
          <w:lang w:eastAsia="zh-CN"/>
        </w:rPr>
        <w:t xml:space="preserve">  </w:t>
      </w:r>
      <w:r>
        <w:rPr>
          <w:rFonts w:hint="eastAsia"/>
        </w:rPr>
        <w:t>矿山企业在本企业矿产储量管理方面的职责是：</w:t>
      </w:r>
    </w:p>
    <w:p>
      <w:pPr>
        <w:widowControl w:val="0"/>
        <w:wordWrap/>
        <w:adjustRightInd/>
        <w:snapToGrid/>
        <w:spacing w:line="576" w:lineRule="exact"/>
        <w:ind w:leftChars="0" w:firstLineChars="200"/>
        <w:textAlignment w:val="auto"/>
        <w:outlineLvl w:val="9"/>
        <w:rPr>
          <w:rFonts w:hint="eastAsia"/>
        </w:rPr>
      </w:pPr>
      <w:r>
        <w:rPr>
          <w:rFonts w:hint="eastAsia"/>
        </w:rPr>
        <w:t>（一）负责矿产储量的合理利用和保护工作；</w:t>
      </w:r>
    </w:p>
    <w:p>
      <w:pPr>
        <w:widowControl w:val="0"/>
        <w:wordWrap/>
        <w:adjustRightInd/>
        <w:snapToGrid/>
        <w:spacing w:line="576" w:lineRule="exact"/>
        <w:ind w:leftChars="0" w:firstLineChars="200"/>
        <w:textAlignment w:val="auto"/>
        <w:outlineLvl w:val="9"/>
        <w:rPr>
          <w:rFonts w:hint="eastAsia"/>
        </w:rPr>
      </w:pPr>
      <w:r>
        <w:rPr>
          <w:rFonts w:hint="eastAsia"/>
        </w:rPr>
        <w:t>（二）做好生产勘探工作，提高矿产储量级别，为开采提供可靠的依据，负责提出生产勘探报告；</w:t>
      </w:r>
    </w:p>
    <w:p>
      <w:pPr>
        <w:widowControl w:val="0"/>
        <w:wordWrap/>
        <w:adjustRightInd/>
        <w:snapToGrid/>
        <w:spacing w:line="576" w:lineRule="exact"/>
        <w:ind w:leftChars="0" w:firstLineChars="200"/>
        <w:textAlignment w:val="auto"/>
        <w:outlineLvl w:val="9"/>
        <w:rPr>
          <w:rFonts w:hint="eastAsia"/>
        </w:rPr>
      </w:pPr>
      <w:r>
        <w:rPr>
          <w:rFonts w:hint="eastAsia"/>
        </w:rPr>
        <w:t>（三）做好矿产储量的核减，负责提出矿产储量的非正常损失注销报告和闭坑储量注销报告；</w:t>
      </w:r>
    </w:p>
    <w:p>
      <w:pPr>
        <w:widowControl w:val="0"/>
        <w:wordWrap/>
        <w:adjustRightInd/>
        <w:snapToGrid/>
        <w:spacing w:line="576" w:lineRule="exact"/>
        <w:ind w:leftChars="0" w:firstLineChars="200"/>
        <w:textAlignment w:val="auto"/>
        <w:outlineLvl w:val="9"/>
        <w:rPr>
          <w:rFonts w:hint="eastAsia"/>
        </w:rPr>
      </w:pPr>
      <w:r>
        <w:rPr>
          <w:rFonts w:hint="eastAsia"/>
        </w:rPr>
        <w:t>（四）负责统计、编报矿产储量的利用、损失、保有等资料，每年向省人民政府地质矿产主管部门作出报告。</w:t>
      </w:r>
    </w:p>
    <w:p>
      <w:pPr>
        <w:widowControl w:val="0"/>
        <w:wordWrap/>
        <w:adjustRightInd/>
        <w:snapToGrid/>
        <w:spacing w:line="576" w:lineRule="exact"/>
        <w:ind w:leftChars="0" w:firstLineChars="200"/>
        <w:textAlignment w:val="auto"/>
        <w:outlineLvl w:val="9"/>
        <w:rPr>
          <w:rFonts w:hint="eastAsia"/>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第四章</w:t>
      </w:r>
      <w:r>
        <w:rPr>
          <w:rFonts w:hint="eastAsia" w:ascii="黑体" w:hAnsi="黑体" w:eastAsia="黑体"/>
          <w:lang w:eastAsia="zh-CN"/>
        </w:rPr>
        <w:t xml:space="preserve">  </w:t>
      </w:r>
      <w:r>
        <w:rPr>
          <w:rFonts w:hint="eastAsia" w:ascii="黑体" w:hAnsi="黑体" w:eastAsia="黑体"/>
        </w:rPr>
        <w:t>法律责任</w:t>
      </w:r>
    </w:p>
    <w:p>
      <w:pPr>
        <w:widowControl w:val="0"/>
        <w:wordWrap/>
        <w:adjustRightInd/>
        <w:snapToGrid/>
        <w:spacing w:line="576" w:lineRule="exact"/>
        <w:ind w:left="0" w:leftChars="0" w:right="0" w:firstLine="0" w:firstLineChars="0"/>
        <w:jc w:val="center"/>
        <w:textAlignment w:val="auto"/>
        <w:outlineLvl w:val="9"/>
        <w:rPr>
          <w:rFonts w:hint="eastAsia"/>
        </w:rPr>
      </w:pP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第二十一条</w:t>
      </w:r>
      <w:r>
        <w:rPr>
          <w:rFonts w:hint="eastAsia" w:ascii="黑体" w:hAnsi="黑体" w:eastAsia="黑体"/>
          <w:lang w:eastAsia="zh-CN"/>
        </w:rPr>
        <w:t xml:space="preserve">  </w:t>
      </w:r>
      <w:r>
        <w:rPr>
          <w:rFonts w:hint="eastAsia"/>
        </w:rPr>
        <w:t>矿产勘查储量报告未经批准擅自开采的，责令其停止开采，赔偿损失，没收其采出的矿产品和非法所得，可以并处相当于矿产储量损失价值百分之五十以下的罚款；拒不停止开采，造成矿产储量破坏的，依照《中华人民共和国刑法》对直接责任人员追究刑事责任。</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第二十二条</w:t>
      </w:r>
      <w:r>
        <w:rPr>
          <w:rFonts w:hint="eastAsia" w:ascii="黑体" w:hAnsi="黑体" w:eastAsia="黑体"/>
          <w:lang w:eastAsia="zh-CN"/>
        </w:rPr>
        <w:t xml:space="preserve">  </w:t>
      </w:r>
      <w:r>
        <w:rPr>
          <w:rFonts w:hint="eastAsia"/>
        </w:rPr>
        <w:t>矿产勘查储量报告未经批准擅自设计利用的，责令设计单位停止设计，没收其非法所得，并对设计单位和设计委托单位分别处以设计费用百分之五十以下的罚款。</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第二十三条</w:t>
      </w:r>
      <w:r>
        <w:rPr>
          <w:rFonts w:hint="eastAsia" w:ascii="黑体" w:hAnsi="黑体" w:eastAsia="黑体"/>
          <w:lang w:eastAsia="zh-CN"/>
        </w:rPr>
        <w:t xml:space="preserve">  </w:t>
      </w:r>
      <w:r>
        <w:rPr>
          <w:rFonts w:hint="eastAsia"/>
        </w:rPr>
        <w:t>负责批准矿山设计方案的主管部门擅自放弃经省矿产储量审批机构批准的矿产储量，不做开采设计利用的，责令其设计利用，并对批准矿山设计方案的主管部门处以一千元以上二万元以下的罚款。</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第二十四条</w:t>
      </w:r>
      <w:r>
        <w:rPr>
          <w:rFonts w:hint="eastAsia" w:ascii="黑体" w:hAnsi="黑体" w:eastAsia="黑体"/>
          <w:lang w:eastAsia="zh-CN"/>
        </w:rPr>
        <w:t xml:space="preserve">  </w:t>
      </w:r>
      <w:r>
        <w:rPr>
          <w:rFonts w:hint="eastAsia"/>
        </w:rPr>
        <w:t>矿山企业造成矿产储量非正常损失，未经省人民政府地质矿产主管部门会同省矿产储量审批机构批准的，处以相当于矿产储量损失价值百分之五十以下的罚款。</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第二十五条</w:t>
      </w:r>
      <w:r>
        <w:rPr>
          <w:rFonts w:hint="eastAsia" w:ascii="黑体" w:hAnsi="黑体" w:eastAsia="黑体"/>
          <w:lang w:eastAsia="zh-CN"/>
        </w:rPr>
        <w:t xml:space="preserve">  </w:t>
      </w:r>
      <w:r>
        <w:rPr>
          <w:rFonts w:hint="eastAsia"/>
        </w:rPr>
        <w:t>矿山企业未经注销储量，擅自闭坑的，责令其补办矿产储量注销手续；造成矿产储量损失的，处以相当于矿产储量损失价值百分之五十以下的罚款。</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第二十六条</w:t>
      </w:r>
      <w:r>
        <w:rPr>
          <w:rFonts w:hint="eastAsia" w:ascii="黑体" w:hAnsi="黑体" w:eastAsia="黑体"/>
          <w:lang w:eastAsia="zh-CN"/>
        </w:rPr>
        <w:t xml:space="preserve">  </w:t>
      </w:r>
      <w:r>
        <w:rPr>
          <w:rFonts w:hint="eastAsia"/>
        </w:rPr>
        <w:t>本条例第二十一条、二十四条、二十五条规定的处罚，由县级以上人民政府地质矿产主管部门执行，第二十二条、二十三条规定的处罚，由省人民政府地质矿产主管部门执行。</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第二十七条</w:t>
      </w:r>
      <w:r>
        <w:rPr>
          <w:rFonts w:hint="eastAsia" w:ascii="黑体" w:hAnsi="黑体" w:eastAsia="黑体"/>
          <w:lang w:eastAsia="zh-CN"/>
        </w:rPr>
        <w:t xml:space="preserve">  </w:t>
      </w:r>
      <w:r>
        <w:rPr>
          <w:rFonts w:hint="eastAsia"/>
        </w:rPr>
        <w:t>虚报、瞒报、拒报矿产储量的利用、损失、保有等统计资料的，由省人民政府地质矿产主管部门责令其限期据实补报，并依据《甘肃省统计管理规定》第十九条的规定处罚。</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第二十八条</w:t>
      </w:r>
      <w:r>
        <w:rPr>
          <w:rFonts w:hint="eastAsia" w:ascii="黑体" w:hAnsi="黑体" w:eastAsia="黑体"/>
          <w:lang w:eastAsia="zh-CN"/>
        </w:rPr>
        <w:t xml:space="preserve">  </w:t>
      </w:r>
      <w:r>
        <w:rPr>
          <w:rFonts w:hint="eastAsia"/>
        </w:rPr>
        <w:t>当事人不服行政处罚的，可以依照有关法律、法规的规定申请复议或者直接向人民法院起诉。</w:t>
      </w:r>
    </w:p>
    <w:p>
      <w:pPr>
        <w:widowControl w:val="0"/>
        <w:wordWrap/>
        <w:adjustRightInd/>
        <w:snapToGrid/>
        <w:spacing w:line="576" w:lineRule="exact"/>
        <w:ind w:leftChars="0" w:firstLineChars="200"/>
        <w:textAlignment w:val="auto"/>
        <w:outlineLvl w:val="9"/>
        <w:rPr>
          <w:rFonts w:hint="eastAsia"/>
        </w:rPr>
      </w:pPr>
      <w:r>
        <w:rPr>
          <w:rFonts w:hint="eastAsia"/>
        </w:rPr>
        <w:t>当事人逾期不申请复议也不向人民法院起诉，又不履行处罚决定的，作出处罚决定的机关可以申请人民法院强制执行。</w:t>
      </w:r>
    </w:p>
    <w:p>
      <w:pPr>
        <w:widowControl w:val="0"/>
        <w:wordWrap/>
        <w:adjustRightInd/>
        <w:snapToGrid/>
        <w:spacing w:line="576" w:lineRule="exact"/>
        <w:ind w:leftChars="0" w:firstLineChars="200"/>
        <w:textAlignment w:val="auto"/>
        <w:outlineLvl w:val="9"/>
        <w:rPr>
          <w:rFonts w:hint="eastAsia"/>
        </w:rPr>
      </w:pPr>
    </w:p>
    <w:p>
      <w:pPr>
        <w:widowControl w:val="0"/>
        <w:numPr>
          <w:ilvl w:val="0"/>
          <w:numId w:val="1"/>
        </w:numPr>
        <w:wordWrap/>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lang w:eastAsia="zh-CN"/>
        </w:rPr>
        <w:t xml:space="preserve"> </w:t>
      </w:r>
      <w:r>
        <w:rPr>
          <w:rFonts w:hint="eastAsia" w:ascii="黑体" w:hAnsi="黑体" w:eastAsia="黑体"/>
        </w:rPr>
        <w:t>附则</w:t>
      </w:r>
    </w:p>
    <w:p>
      <w:pPr>
        <w:widowControl w:val="0"/>
        <w:numPr>
          <w:numId w:val="0"/>
        </w:numPr>
        <w:wordWrap/>
        <w:adjustRightInd/>
        <w:snapToGrid/>
        <w:spacing w:line="576" w:lineRule="exact"/>
        <w:ind w:left="0" w:leftChars="0" w:right="0" w:firstLine="0" w:firstLineChars="0"/>
        <w:jc w:val="center"/>
        <w:textAlignment w:val="auto"/>
        <w:outlineLvl w:val="9"/>
        <w:rPr>
          <w:rFonts w:hint="eastAsia" w:ascii="黑体" w:hAnsi="黑体" w:eastAsia="黑体"/>
        </w:rPr>
      </w:pP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第二十九条</w:t>
      </w:r>
      <w:r>
        <w:rPr>
          <w:rFonts w:hint="eastAsia" w:ascii="黑体" w:hAnsi="黑体" w:eastAsia="黑体"/>
          <w:lang w:eastAsia="zh-CN"/>
        </w:rPr>
        <w:t xml:space="preserve">  </w:t>
      </w:r>
      <w:r>
        <w:rPr>
          <w:rFonts w:hint="eastAsia"/>
        </w:rPr>
        <w:t>本条例实施中的具体应用问题,由省人民政府地质矿产主管部门负责解释。</w:t>
      </w:r>
    </w:p>
    <w:p>
      <w:pPr>
        <w:widowControl w:val="0"/>
        <w:wordWrap/>
        <w:adjustRightInd/>
        <w:snapToGrid/>
        <w:spacing w:line="576" w:lineRule="exact"/>
        <w:ind w:leftChars="0" w:firstLineChars="200"/>
        <w:textAlignment w:val="auto"/>
        <w:outlineLvl w:val="9"/>
        <w:rPr>
          <w:rFonts w:hint="eastAsia"/>
        </w:rPr>
      </w:pPr>
      <w:r>
        <w:rPr>
          <w:rFonts w:hint="eastAsia" w:ascii="黑体" w:hAnsi="黑体" w:eastAsia="黑体"/>
        </w:rPr>
        <w:t>第三十条</w:t>
      </w:r>
      <w:r>
        <w:rPr>
          <w:rFonts w:hint="eastAsia" w:ascii="黑体" w:hAnsi="黑体" w:eastAsia="黑体"/>
          <w:lang w:eastAsia="zh-CN"/>
        </w:rPr>
        <w:t xml:space="preserve">  </w:t>
      </w:r>
      <w:r>
        <w:rPr>
          <w:rFonts w:hint="eastAsia"/>
        </w:rPr>
        <w:t>本条例自公布之日起施行。</w:t>
      </w:r>
    </w:p>
    <w:sectPr>
      <w:headerReference r:id="rId4" w:type="default"/>
      <w:footerReference r:id="rId5" w:type="default"/>
      <w:pgSz w:w="11906" w:h="16838"/>
      <w:pgMar w:top="2098" w:right="1474" w:bottom="1984" w:left="1587" w:header="851" w:footer="1531" w:gutter="0"/>
      <w:paperSrc w:first="0" w:oth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afterAutospacing="0"/>
      <w:ind w:left="-202" w:leftChars="-295"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
    <w:nsid w:val="00000002"/>
    <w:multiLevelType w:val="singleLevel"/>
    <w:tmpl w:val="00000002"/>
    <w:lvl w:ilvl="0" w:tentative="1">
      <w:start w:val="5"/>
      <w:numFmt w:val="chineseCounting"/>
      <w:suff w:val="space"/>
      <w:lvlText w:val="第%1章"/>
      <w:lvlJc w:val="left"/>
    </w:lvl>
  </w:abstractNum>
  <w:num w:numId="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C29158C"/>
    <w:rsid w:val="1B512CE9"/>
    <w:rsid w:val="2D767155"/>
    <w:rsid w:val="41D47576"/>
    <w:rsid w:val="54B10D73"/>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uiPriority w:val="0"/>
    <w:pPr>
      <w:keepNext/>
      <w:keepLines/>
      <w:spacing w:line="576" w:lineRule="exact"/>
      <w:outlineLvl w:val="2"/>
    </w:pPr>
    <w:rPr>
      <w:rFonts w:eastAsia="黑体"/>
      <w:sz w:val="32"/>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cp:lastModifiedBy>
  <dcterms:modified xsi:type="dcterms:W3CDTF">2017-02-16T11:33:53Z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