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jc w:val="both"/>
        <w:textAlignment w:val="auto"/>
        <w:outlineLvl w:val="9"/>
        <w:rPr>
          <w:color w:val="000000"/>
          <w:spacing w:val="0"/>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after="289" w:afterLines="50" w:line="240" w:lineRule="auto"/>
        <w:ind w:left="0" w:leftChars="0" w:right="0" w:rightChars="0" w:firstLine="0" w:firstLineChars="0"/>
        <w:jc w:val="center"/>
        <w:textAlignment w:val="auto"/>
        <w:outlineLvl w:val="9"/>
        <w:rPr>
          <w:rFonts w:hint="eastAsia" w:ascii="宋体" w:hAnsi="宋体" w:eastAsia="宋体" w:cs="宋体"/>
          <w:b/>
          <w:bCs/>
          <w:spacing w:val="0"/>
          <w:sz w:val="44"/>
          <w:szCs w:val="44"/>
        </w:rPr>
      </w:pPr>
      <w:r>
        <w:rPr>
          <w:rFonts w:hint="eastAsia" w:ascii="宋体" w:hAnsi="宋体" w:eastAsia="宋体" w:cs="宋体"/>
          <w:b/>
          <w:bCs/>
          <w:color w:val="000000"/>
          <w:spacing w:val="0"/>
          <w:kern w:val="0"/>
          <w:sz w:val="44"/>
          <w:szCs w:val="44"/>
        </w:rPr>
        <w:t>南平市朱子文化遗存保护条例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eastAsia="楷体_GB2312"/>
          <w:spacing w:val="0"/>
          <w:sz w:val="32"/>
          <w:szCs w:val="32"/>
        </w:rPr>
      </w:pPr>
      <w:r>
        <w:rPr>
          <w:rFonts w:hAnsi="楷体_GB2312" w:eastAsia="楷体_GB2312"/>
          <w:spacing w:val="0"/>
          <w:sz w:val="32"/>
          <w:szCs w:val="32"/>
        </w:rPr>
        <w:t>（</w:t>
      </w:r>
      <w:r>
        <w:rPr>
          <w:rFonts w:eastAsia="楷体_GB2312"/>
          <w:spacing w:val="0"/>
          <w:sz w:val="32"/>
          <w:szCs w:val="32"/>
        </w:rPr>
        <w:t>2017</w:t>
      </w:r>
      <w:r>
        <w:rPr>
          <w:rFonts w:hAnsi="楷体_GB2312" w:eastAsia="楷体_GB2312"/>
          <w:spacing w:val="0"/>
          <w:sz w:val="32"/>
          <w:szCs w:val="32"/>
        </w:rPr>
        <w:t>年</w:t>
      </w:r>
      <w:r>
        <w:rPr>
          <w:rFonts w:eastAsia="楷体_GB2312"/>
          <w:spacing w:val="0"/>
          <w:sz w:val="32"/>
          <w:szCs w:val="32"/>
        </w:rPr>
        <w:t>3</w:t>
      </w:r>
      <w:r>
        <w:rPr>
          <w:rFonts w:hAnsi="楷体_GB2312" w:eastAsia="楷体_GB2312"/>
          <w:spacing w:val="0"/>
          <w:sz w:val="32"/>
          <w:szCs w:val="32"/>
        </w:rPr>
        <w:t>月</w:t>
      </w:r>
      <w:r>
        <w:rPr>
          <w:rFonts w:eastAsia="楷体_GB2312"/>
          <w:spacing w:val="0"/>
          <w:sz w:val="32"/>
          <w:szCs w:val="32"/>
        </w:rPr>
        <w:t>28</w:t>
      </w:r>
      <w:r>
        <w:rPr>
          <w:rFonts w:hAnsi="楷体_GB2312" w:eastAsia="楷体_GB2312"/>
          <w:spacing w:val="0"/>
          <w:sz w:val="32"/>
          <w:szCs w:val="32"/>
        </w:rPr>
        <w:t>日南平市第五届人民代表大会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eastAsia="楷体_GB2312"/>
          <w:spacing w:val="0"/>
          <w:sz w:val="32"/>
          <w:szCs w:val="32"/>
        </w:rPr>
      </w:pPr>
      <w:r>
        <w:rPr>
          <w:rFonts w:hAnsi="楷体_GB2312" w:eastAsia="楷体_GB2312"/>
          <w:spacing w:val="0"/>
          <w:sz w:val="32"/>
          <w:szCs w:val="32"/>
        </w:rPr>
        <w:t>常务委员会第二次会议通过</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eastAsia="楷体_GB2312"/>
          <w:spacing w:val="0"/>
          <w:sz w:val="32"/>
          <w:szCs w:val="32"/>
        </w:rPr>
      </w:pPr>
      <w:r>
        <w:rPr>
          <w:rFonts w:eastAsia="楷体_GB2312"/>
          <w:spacing w:val="0"/>
          <w:sz w:val="32"/>
          <w:szCs w:val="32"/>
        </w:rPr>
        <w:t>2017</w:t>
      </w:r>
      <w:r>
        <w:rPr>
          <w:rFonts w:hAnsi="楷体_GB2312" w:eastAsia="楷体_GB2312"/>
          <w:spacing w:val="0"/>
          <w:sz w:val="32"/>
          <w:szCs w:val="32"/>
        </w:rPr>
        <w:t>年</w:t>
      </w:r>
      <w:r>
        <w:rPr>
          <w:rFonts w:eastAsia="楷体_GB2312"/>
          <w:spacing w:val="0"/>
          <w:sz w:val="32"/>
          <w:szCs w:val="32"/>
        </w:rPr>
        <w:t>7</w:t>
      </w:r>
      <w:r>
        <w:rPr>
          <w:rFonts w:hAnsi="楷体_GB2312" w:eastAsia="楷体_GB2312"/>
          <w:spacing w:val="0"/>
          <w:sz w:val="32"/>
          <w:szCs w:val="32"/>
        </w:rPr>
        <w:t>月</w:t>
      </w:r>
      <w:r>
        <w:rPr>
          <w:rFonts w:eastAsia="楷体_GB2312"/>
          <w:spacing w:val="0"/>
          <w:sz w:val="32"/>
          <w:szCs w:val="32"/>
        </w:rPr>
        <w:t>21</w:t>
      </w:r>
      <w:r>
        <w:rPr>
          <w:rFonts w:hAnsi="楷体_GB2312" w:eastAsia="楷体_GB2312"/>
          <w:spacing w:val="0"/>
          <w:sz w:val="32"/>
          <w:szCs w:val="32"/>
        </w:rPr>
        <w:t>日福建省第十二届人民代表大会</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eastAsia="楷体_GB2312"/>
          <w:spacing w:val="0"/>
          <w:sz w:val="32"/>
          <w:szCs w:val="32"/>
        </w:rPr>
      </w:pPr>
      <w:r>
        <w:rPr>
          <w:rFonts w:hAnsi="楷体_GB2312" w:eastAsia="楷体_GB2312"/>
          <w:spacing w:val="0"/>
          <w:sz w:val="32"/>
          <w:szCs w:val="32"/>
        </w:rPr>
        <w:t>常务委员会第三十次会议批准）</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eastAsia="仿宋_GB2312"/>
          <w:color w:val="000000"/>
          <w:spacing w:val="0"/>
          <w:sz w:val="32"/>
          <w:szCs w:val="32"/>
        </w:rPr>
      </w:pPr>
      <w:r>
        <w:rPr>
          <w:rFonts w:eastAsia="楷体_GB2312"/>
          <w:spacing w:val="0"/>
          <w:sz w:val="32"/>
          <w:szCs w:val="32"/>
        </w:rPr>
        <w:t xml:space="preserve">      </w:t>
      </w:r>
    </w:p>
    <w:p>
      <w:pPr>
        <w:keepNext w:val="0"/>
        <w:keepLines w:val="0"/>
        <w:pageBreakBefore w:val="0"/>
        <w:kinsoku/>
        <w:wordWrap/>
        <w:overflowPunct/>
        <w:topLinePunct w:val="0"/>
        <w:autoSpaceDE/>
        <w:autoSpaceDN/>
        <w:bidi w:val="0"/>
        <w:adjustRightInd/>
        <w:snapToGrid/>
        <w:spacing w:before="156" w:beforeLines="50" w:after="156" w:afterLines="50" w:line="240" w:lineRule="auto"/>
        <w:ind w:left="0" w:leftChars="0" w:right="0" w:rightChars="0"/>
        <w:jc w:val="center"/>
        <w:textAlignment w:val="auto"/>
        <w:outlineLvl w:val="9"/>
        <w:rPr>
          <w:rFonts w:eastAsia="楷体_GB2312"/>
          <w:spacing w:val="0"/>
          <w:sz w:val="32"/>
          <w:szCs w:val="32"/>
        </w:rPr>
      </w:pPr>
      <w:r>
        <w:rPr>
          <w:rFonts w:hAnsi="楷体_GB2312" w:eastAsia="楷体_GB2312"/>
          <w:spacing w:val="0"/>
          <w:sz w:val="32"/>
          <w:szCs w:val="32"/>
        </w:rPr>
        <w:t>目</w:t>
      </w:r>
      <w:r>
        <w:rPr>
          <w:rFonts w:eastAsia="楷体_GB2312"/>
          <w:spacing w:val="0"/>
          <w:sz w:val="32"/>
          <w:szCs w:val="32"/>
        </w:rPr>
        <w:t xml:space="preserve">    </w:t>
      </w:r>
      <w:r>
        <w:rPr>
          <w:rFonts w:hAnsi="楷体_GB2312" w:eastAsia="楷体_GB2312"/>
          <w:spacing w:val="0"/>
          <w:sz w:val="32"/>
          <w:szCs w:val="32"/>
        </w:rPr>
        <w:t>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楷体_GB2312"/>
          <w:spacing w:val="0"/>
          <w:sz w:val="32"/>
          <w:szCs w:val="32"/>
        </w:rPr>
      </w:pPr>
      <w:r>
        <w:rPr>
          <w:rFonts w:eastAsia="方正书宋_GBK"/>
          <w:spacing w:val="0"/>
          <w:sz w:val="32"/>
          <w:szCs w:val="32"/>
        </w:rPr>
        <w:t>第一章  总则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方正书宋_GBK"/>
          <w:spacing w:val="0"/>
          <w:sz w:val="32"/>
          <w:szCs w:val="32"/>
        </w:rPr>
      </w:pPr>
      <w:r>
        <w:rPr>
          <w:rFonts w:eastAsia="方正书宋_GBK"/>
          <w:spacing w:val="0"/>
          <w:sz w:val="32"/>
          <w:szCs w:val="32"/>
        </w:rPr>
        <w:t>第二章  名录编制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方正书宋_GBK"/>
          <w:spacing w:val="0"/>
          <w:sz w:val="32"/>
          <w:szCs w:val="32"/>
        </w:rPr>
      </w:pPr>
      <w:r>
        <w:rPr>
          <w:rFonts w:eastAsia="方正书宋_GBK"/>
          <w:spacing w:val="0"/>
          <w:sz w:val="32"/>
          <w:szCs w:val="32"/>
        </w:rPr>
        <w:t>第三章  保护管理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方正书宋_GBK"/>
          <w:spacing w:val="0"/>
          <w:sz w:val="32"/>
          <w:szCs w:val="32"/>
        </w:rPr>
      </w:pPr>
      <w:r>
        <w:rPr>
          <w:rFonts w:eastAsia="方正书宋_GBK"/>
          <w:spacing w:val="0"/>
          <w:sz w:val="32"/>
          <w:szCs w:val="32"/>
        </w:rPr>
        <w:t>第四章  开发利用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方正书宋_GBK"/>
          <w:spacing w:val="0"/>
          <w:sz w:val="32"/>
          <w:szCs w:val="32"/>
        </w:rPr>
      </w:pPr>
      <w:r>
        <w:rPr>
          <w:rFonts w:eastAsia="方正书宋_GBK"/>
          <w:spacing w:val="0"/>
          <w:sz w:val="32"/>
          <w:szCs w:val="32"/>
        </w:rPr>
        <w:t>第五章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方正书宋_GBK"/>
          <w:spacing w:val="0"/>
          <w:sz w:val="32"/>
          <w:szCs w:val="32"/>
        </w:rPr>
      </w:pPr>
      <w:r>
        <w:rPr>
          <w:rFonts w:eastAsia="方正书宋_GBK"/>
          <w:spacing w:val="0"/>
          <w:sz w:val="32"/>
          <w:szCs w:val="32"/>
        </w:rPr>
        <w:t>第六章  附则</w:t>
      </w:r>
    </w:p>
    <w:p>
      <w:pPr>
        <w:keepNext w:val="0"/>
        <w:keepLines w:val="0"/>
        <w:pageBreakBefore w:val="0"/>
        <w:widowControl w:val="0"/>
        <w:shd w:val="clear" w:color="auto" w:fill="FFFFFF"/>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eastAsia="黑体"/>
          <w:bCs/>
          <w:color w:val="000000"/>
          <w:spacing w:val="0"/>
          <w:kern w:val="0"/>
          <w:sz w:val="32"/>
          <w:szCs w:val="32"/>
        </w:rPr>
      </w:pPr>
      <w:r>
        <w:rPr>
          <w:rFonts w:hAnsi="黑体" w:eastAsia="黑体"/>
          <w:bCs/>
          <w:color w:val="000000"/>
          <w:spacing w:val="0"/>
          <w:kern w:val="0"/>
          <w:sz w:val="32"/>
          <w:szCs w:val="32"/>
        </w:rPr>
        <w:t>第一章</w:t>
      </w:r>
      <w:r>
        <w:rPr>
          <w:rFonts w:eastAsia="黑体"/>
          <w:bCs/>
          <w:color w:val="000000"/>
          <w:spacing w:val="0"/>
          <w:kern w:val="0"/>
          <w:sz w:val="32"/>
          <w:szCs w:val="32"/>
        </w:rPr>
        <w:t xml:space="preserve">  </w:t>
      </w:r>
      <w:r>
        <w:rPr>
          <w:rFonts w:hAnsi="黑体" w:eastAsia="黑体"/>
          <w:bCs/>
          <w:color w:val="000000"/>
          <w:spacing w:val="0"/>
          <w:kern w:val="0"/>
          <w:sz w:val="32"/>
          <w:szCs w:val="32"/>
        </w:rPr>
        <w:t>总</w:t>
      </w:r>
      <w:r>
        <w:rPr>
          <w:rFonts w:eastAsia="黑体"/>
          <w:bCs/>
          <w:color w:val="000000"/>
          <w:spacing w:val="0"/>
          <w:kern w:val="0"/>
          <w:sz w:val="32"/>
          <w:szCs w:val="32"/>
        </w:rPr>
        <w:t xml:space="preserve">   </w:t>
      </w:r>
      <w:r>
        <w:rPr>
          <w:rFonts w:hAnsi="黑体" w:eastAsia="黑体"/>
          <w:bCs/>
          <w:color w:val="000000"/>
          <w:spacing w:val="0"/>
          <w:kern w:val="0"/>
          <w:sz w:val="32"/>
          <w:szCs w:val="32"/>
        </w:rPr>
        <w:t>则</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第一条</w:t>
      </w:r>
      <w:r>
        <w:rPr>
          <w:rFonts w:eastAsia="仿宋_GB2312"/>
          <w:color w:val="000000"/>
          <w:spacing w:val="0"/>
          <w:kern w:val="0"/>
          <w:sz w:val="32"/>
          <w:szCs w:val="32"/>
        </w:rPr>
        <w:t xml:space="preserve">  为了加强对朱子文化遗存的保护，传承和弘扬中华民族优秀传统文化，根据《中华人民共和国文物保护法》《福建省文物保护管理条例》等有关法律、法规，结合本市实际，制定本条例。</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第二条</w:t>
      </w:r>
      <w:r>
        <w:rPr>
          <w:rFonts w:eastAsia="黑体"/>
          <w:bCs/>
          <w:color w:val="000000"/>
          <w:spacing w:val="0"/>
          <w:kern w:val="0"/>
          <w:sz w:val="32"/>
          <w:szCs w:val="32"/>
        </w:rPr>
        <w:t xml:space="preserve"> </w:t>
      </w:r>
      <w:r>
        <w:rPr>
          <w:rFonts w:eastAsia="仿宋_GB2312"/>
          <w:color w:val="000000"/>
          <w:spacing w:val="0"/>
          <w:kern w:val="0"/>
          <w:sz w:val="32"/>
          <w:szCs w:val="32"/>
        </w:rPr>
        <w:t xml:space="preserve"> 本市行政区域内朱子文化遗存的认定、保护、管理和利用，适用本条例。</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已经确认为各级文物和文物保护单位的朱子文化遗存，按照国家和省有关法律、法规的规定严格保护。</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第三条</w:t>
      </w:r>
      <w:r>
        <w:rPr>
          <w:rFonts w:eastAsia="仿宋_GB2312"/>
          <w:color w:val="000000"/>
          <w:spacing w:val="0"/>
          <w:kern w:val="0"/>
          <w:sz w:val="32"/>
          <w:szCs w:val="32"/>
        </w:rPr>
        <w:t xml:space="preserve">  本条例所称朱子文化遗存，是指与南宋理学家朱熹有关的，以及与朱子文化的形成、发展和传播相关的，具有代表性的遗迹、遗物。</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第四条</w:t>
      </w:r>
      <w:r>
        <w:rPr>
          <w:rFonts w:eastAsia="仿宋_GB2312"/>
          <w:color w:val="000000"/>
          <w:spacing w:val="0"/>
          <w:kern w:val="0"/>
          <w:sz w:val="32"/>
          <w:szCs w:val="32"/>
        </w:rPr>
        <w:t xml:space="preserve">  朱子文化遗存保护，应当坚持科学规划、保护优先、加强管理、合理利用的原则，按照政府主导、社会参与的要求，正确处理经济建设、社会发展与朱子文化遗存保护的关系，确保朱子文化遗存真实、完整和安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第五条</w:t>
      </w:r>
      <w:r>
        <w:rPr>
          <w:rFonts w:eastAsia="仿宋_GB2312"/>
          <w:color w:val="000000"/>
          <w:spacing w:val="0"/>
          <w:kern w:val="0"/>
          <w:sz w:val="32"/>
          <w:szCs w:val="32"/>
        </w:rPr>
        <w:t xml:space="preserve">  市、县两级人民政府应当将朱子文化遗存保护工作纳入本级国民经济和社会发展规划，加强对朱子文化遗存保护工作的组织领导和统筹协调。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市级文化文物主管部门负责本市朱子文化遗存保护工作的指导、监督和组织实施；县级文化文物主管部门负责本行政区域内的朱子文化遗存具体保护工作。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市、县两级人民政府有关行政管理部门按照各自职责，做好有关的朱子文化遗存保护工作。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乡、镇、街道按照属地管理的原则，配合做好朱子文化遗存保护工作；鼓励居民委员会、村民委员会参与朱子文化遗存保护工作。</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第六条</w:t>
      </w:r>
      <w:r>
        <w:rPr>
          <w:rFonts w:eastAsia="仿宋_GB2312"/>
          <w:color w:val="000000"/>
          <w:spacing w:val="0"/>
          <w:kern w:val="0"/>
          <w:sz w:val="32"/>
          <w:szCs w:val="32"/>
        </w:rPr>
        <w:t xml:space="preserve">  市级人民政府应当组建朱子文化遗存保护专家咨询委员会，为朱子文化遗存保护工作提供咨询、论证、评审服务和专业指导。</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第七条</w:t>
      </w:r>
      <w:r>
        <w:rPr>
          <w:rFonts w:eastAsia="仿宋_GB2312"/>
          <w:color w:val="000000"/>
          <w:spacing w:val="0"/>
          <w:kern w:val="0"/>
          <w:sz w:val="32"/>
          <w:szCs w:val="32"/>
        </w:rPr>
        <w:t xml:space="preserve">  市、县两级人民政府应当将朱子文化遗存保护工作经费列入本级财政预算，建立与经济发展相适应的经费保障机制，确保朱子文化遗存保护工作顺利开展。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市级人民政府应当设立朱子文化遗存保护专项资金。专项资金可以通过财政拨款和接受捐赠等方式筹集。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第八条</w:t>
      </w:r>
      <w:r>
        <w:rPr>
          <w:rFonts w:eastAsia="仿宋_GB2312"/>
          <w:color w:val="000000"/>
          <w:spacing w:val="0"/>
          <w:kern w:val="0"/>
          <w:sz w:val="32"/>
          <w:szCs w:val="32"/>
        </w:rPr>
        <w:t xml:space="preserve">  朱子文化遗存的所有权和使用权受法律保护。所有权人和使用权人可以按照有关法律、法规的规定，参与管理朱子文化遗存保护的相关事务。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第九条</w:t>
      </w:r>
      <w:r>
        <w:rPr>
          <w:rFonts w:eastAsia="仿宋_GB2312"/>
          <w:color w:val="000000"/>
          <w:spacing w:val="0"/>
          <w:kern w:val="0"/>
          <w:sz w:val="32"/>
          <w:szCs w:val="32"/>
        </w:rPr>
        <w:t xml:space="preserve">  市、县两级人民政府及其有关部门应当加强朱子文化遗存保护的宣传教育，增强全民保护意识，重视朱子文化遗存保护的研究和人才培养，提高保护水平。</w:t>
      </w:r>
    </w:p>
    <w:p>
      <w:pPr>
        <w:keepNext w:val="0"/>
        <w:keepLines w:val="0"/>
        <w:pageBreakBefore w:val="0"/>
        <w:widowControl w:val="0"/>
        <w:shd w:val="clear" w:color="auto" w:fill="FFFFFF"/>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eastAsia="黑体"/>
          <w:bCs/>
          <w:color w:val="000000"/>
          <w:spacing w:val="0"/>
          <w:kern w:val="0"/>
          <w:sz w:val="32"/>
          <w:szCs w:val="32"/>
        </w:rPr>
      </w:pPr>
      <w:r>
        <w:rPr>
          <w:rFonts w:hAnsi="黑体" w:eastAsia="黑体"/>
          <w:bCs/>
          <w:color w:val="000000"/>
          <w:spacing w:val="0"/>
          <w:kern w:val="0"/>
          <w:sz w:val="32"/>
          <w:szCs w:val="32"/>
        </w:rPr>
        <w:t>第二章</w:t>
      </w:r>
      <w:r>
        <w:rPr>
          <w:rFonts w:eastAsia="黑体"/>
          <w:bCs/>
          <w:color w:val="000000"/>
          <w:spacing w:val="0"/>
          <w:kern w:val="0"/>
          <w:sz w:val="32"/>
          <w:szCs w:val="32"/>
        </w:rPr>
        <w:t xml:space="preserve">  </w:t>
      </w:r>
      <w:r>
        <w:rPr>
          <w:rFonts w:hAnsi="黑体" w:eastAsia="黑体"/>
          <w:bCs/>
          <w:color w:val="000000"/>
          <w:spacing w:val="0"/>
          <w:kern w:val="0"/>
          <w:sz w:val="32"/>
          <w:szCs w:val="32"/>
        </w:rPr>
        <w:t>名录编制</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第十条</w:t>
      </w:r>
      <w:r>
        <w:rPr>
          <w:rFonts w:eastAsia="仿宋_GB2312"/>
          <w:color w:val="000000"/>
          <w:spacing w:val="0"/>
          <w:kern w:val="0"/>
          <w:sz w:val="32"/>
          <w:szCs w:val="32"/>
        </w:rPr>
        <w:t xml:space="preserve">  本市行政区域内的朱子文化遗存实施名录管理。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第十一条</w:t>
      </w:r>
      <w:r>
        <w:rPr>
          <w:rFonts w:eastAsia="仿宋_GB2312"/>
          <w:color w:val="000000"/>
          <w:spacing w:val="0"/>
          <w:kern w:val="0"/>
          <w:sz w:val="32"/>
          <w:szCs w:val="32"/>
        </w:rPr>
        <w:t xml:space="preserve">  市级文化文物主管部门应当定期组织开展朱子文化遗存普查，并予以认定、记录、建档和建立信息数据库。</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第十二条</w:t>
      </w:r>
      <w:r>
        <w:rPr>
          <w:rFonts w:eastAsia="仿宋_GB2312"/>
          <w:color w:val="000000"/>
          <w:spacing w:val="0"/>
          <w:kern w:val="0"/>
          <w:sz w:val="32"/>
          <w:szCs w:val="32"/>
        </w:rPr>
        <w:t xml:space="preserve">  </w:t>
      </w:r>
      <w:r>
        <w:rPr>
          <w:rFonts w:eastAsia="仿宋_GB2312"/>
          <w:spacing w:val="0"/>
          <w:sz w:val="32"/>
          <w:szCs w:val="32"/>
        </w:rPr>
        <w:t>符合本条例第三条规定，属于下列内容的，市级文化文物主管部</w:t>
      </w:r>
      <w:r>
        <w:rPr>
          <w:rFonts w:eastAsia="仿宋_GB2312"/>
          <w:color w:val="000000"/>
          <w:spacing w:val="0"/>
          <w:kern w:val="0"/>
          <w:sz w:val="32"/>
          <w:szCs w:val="32"/>
        </w:rPr>
        <w:t>门根据市级人民政府制定的标准和程序，经市级人民政府批准后，将其认定为朱子文化遗存：</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04" w:firstLineChars="200"/>
        <w:textAlignment w:val="auto"/>
        <w:outlineLvl w:val="9"/>
        <w:rPr>
          <w:rFonts w:eastAsia="仿宋_GB2312"/>
          <w:spacing w:val="-5"/>
          <w:sz w:val="32"/>
          <w:szCs w:val="32"/>
        </w:rPr>
      </w:pPr>
      <w:r>
        <w:rPr>
          <w:rFonts w:eastAsia="仿宋_GB2312"/>
          <w:spacing w:val="-5"/>
          <w:sz w:val="32"/>
          <w:szCs w:val="32"/>
        </w:rPr>
        <w:t>（一）古文化遗址、古墓葬、古建筑、石窟寺和石刻、壁画等；</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eastAsia="仿宋_GB2312"/>
          <w:spacing w:val="0"/>
          <w:sz w:val="32"/>
          <w:szCs w:val="32"/>
        </w:rPr>
      </w:pPr>
      <w:r>
        <w:rPr>
          <w:rFonts w:eastAsia="仿宋_GB2312"/>
          <w:spacing w:val="0"/>
          <w:sz w:val="32"/>
          <w:szCs w:val="32"/>
        </w:rPr>
        <w:t>（二）重要实物、艺术品、文献典籍、手稿和图书资料等。</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第十三条</w:t>
      </w:r>
      <w:r>
        <w:rPr>
          <w:rFonts w:eastAsia="仿宋_GB2312"/>
          <w:color w:val="000000"/>
          <w:spacing w:val="0"/>
          <w:kern w:val="0"/>
          <w:sz w:val="32"/>
          <w:szCs w:val="32"/>
        </w:rPr>
        <w:t xml:space="preserve">  市级文化文物主管部门应当根据朱子文化遗存普查认定情况，编制本市朱子文化遗存保护名录，报市级人民政府批准。市级人民政府应当自批准之日起十五日内将保护名录向社会公布。</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保护名录应当明确朱子文化遗存的名称、类型、详细地点、保护级别、保护范围、责任单位、保护管理部门等事项。</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第十四条</w:t>
      </w:r>
      <w:r>
        <w:rPr>
          <w:rFonts w:eastAsia="仿宋_GB2312"/>
          <w:color w:val="000000"/>
          <w:spacing w:val="0"/>
          <w:kern w:val="0"/>
          <w:sz w:val="32"/>
          <w:szCs w:val="32"/>
        </w:rPr>
        <w:t xml:space="preserve">  朱子文化遗存保护名录需要调整的，由市级文化文物主管部门报市级人民政府批准。</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第十五条</w:t>
      </w:r>
      <w:r>
        <w:rPr>
          <w:rFonts w:eastAsia="仿宋_GB2312"/>
          <w:color w:val="000000"/>
          <w:spacing w:val="0"/>
          <w:kern w:val="0"/>
          <w:sz w:val="32"/>
          <w:szCs w:val="32"/>
        </w:rPr>
        <w:t xml:space="preserve">  县级文化文物主管部门应当在朱子文化遗存保护名录公布之日起九十日内，完成对已公布的不可移动朱子文化遗存保护标志的设置。保护标志的样式由市级文化文物主管部门根据有关规定统一制定。</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eastAsia="仿宋_GB2312"/>
          <w:bCs/>
          <w:color w:val="000000"/>
          <w:spacing w:val="0"/>
          <w:kern w:val="0"/>
          <w:sz w:val="32"/>
          <w:szCs w:val="32"/>
        </w:rPr>
      </w:pPr>
      <w:r>
        <w:rPr>
          <w:rFonts w:eastAsia="仿宋_GB2312"/>
          <w:color w:val="000000"/>
          <w:spacing w:val="0"/>
          <w:kern w:val="0"/>
          <w:sz w:val="32"/>
          <w:szCs w:val="32"/>
        </w:rPr>
        <w:t>任何单位、组织和个人不得擅自设置、移动、涂改或者损毁保护标志。</w:t>
      </w:r>
    </w:p>
    <w:p>
      <w:pPr>
        <w:keepNext w:val="0"/>
        <w:keepLines w:val="0"/>
        <w:pageBreakBefore w:val="0"/>
        <w:widowControl w:val="0"/>
        <w:shd w:val="clear" w:color="auto" w:fill="FFFFFF"/>
        <w:kinsoku/>
        <w:wordWrap/>
        <w:overflowPunct/>
        <w:topLinePunct w:val="0"/>
        <w:autoSpaceDE/>
        <w:autoSpaceDN/>
        <w:bidi w:val="0"/>
        <w:adjustRightInd/>
        <w:snapToGrid/>
        <w:spacing w:before="576" w:beforeLines="100" w:after="576" w:afterLines="100" w:line="540" w:lineRule="exact"/>
        <w:ind w:left="0" w:leftChars="0" w:right="0" w:rightChars="0" w:firstLine="0" w:firstLineChars="0"/>
        <w:jc w:val="center"/>
        <w:textAlignment w:val="auto"/>
        <w:outlineLvl w:val="9"/>
        <w:rPr>
          <w:rFonts w:eastAsia="仿宋_GB2312"/>
          <w:color w:val="000000"/>
          <w:spacing w:val="0"/>
          <w:sz w:val="32"/>
          <w:szCs w:val="32"/>
        </w:rPr>
      </w:pPr>
      <w:r>
        <w:rPr>
          <w:rFonts w:eastAsia="仿宋_GB2312"/>
          <w:bCs/>
          <w:color w:val="000000"/>
          <w:spacing w:val="0"/>
          <w:kern w:val="0"/>
          <w:sz w:val="32"/>
          <w:szCs w:val="32"/>
        </w:rPr>
        <w:t xml:space="preserve"> </w:t>
      </w:r>
      <w:r>
        <w:rPr>
          <w:rFonts w:hAnsi="黑体" w:eastAsia="黑体"/>
          <w:bCs/>
          <w:color w:val="000000"/>
          <w:spacing w:val="0"/>
          <w:kern w:val="0"/>
          <w:sz w:val="32"/>
          <w:szCs w:val="32"/>
        </w:rPr>
        <w:t>第三章</w:t>
      </w:r>
      <w:r>
        <w:rPr>
          <w:rFonts w:eastAsia="黑体"/>
          <w:bCs/>
          <w:color w:val="000000"/>
          <w:spacing w:val="0"/>
          <w:kern w:val="0"/>
          <w:sz w:val="32"/>
          <w:szCs w:val="32"/>
        </w:rPr>
        <w:t xml:space="preserve">  </w:t>
      </w:r>
      <w:r>
        <w:rPr>
          <w:rFonts w:hAnsi="黑体" w:eastAsia="黑体"/>
          <w:bCs/>
          <w:color w:val="000000"/>
          <w:spacing w:val="0"/>
          <w:kern w:val="0"/>
          <w:sz w:val="32"/>
          <w:szCs w:val="32"/>
        </w:rPr>
        <w:t>保护管理</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第十六条</w:t>
      </w:r>
      <w:r>
        <w:rPr>
          <w:rFonts w:eastAsia="黑体"/>
          <w:bCs/>
          <w:color w:val="000000"/>
          <w:spacing w:val="0"/>
          <w:kern w:val="0"/>
          <w:sz w:val="32"/>
          <w:szCs w:val="32"/>
        </w:rPr>
        <w:t xml:space="preserve"> </w:t>
      </w:r>
      <w:r>
        <w:rPr>
          <w:rFonts w:eastAsia="仿宋_GB2312"/>
          <w:color w:val="000000"/>
          <w:spacing w:val="0"/>
          <w:kern w:val="0"/>
          <w:sz w:val="32"/>
          <w:szCs w:val="32"/>
        </w:rPr>
        <w:t xml:space="preserve"> 市级人民政府应当编制朱子文化遗存专项保护规划，并组织实施。县级人民政府应当将专项保护规划内容和要求落实到本行政区域的控制性详细规划。</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土地利用、城乡建设、环境保护等专项规划应当体现朱子文化遗存保护的要求。</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第十七条</w:t>
      </w:r>
      <w:r>
        <w:rPr>
          <w:rFonts w:eastAsia="仿宋_GB2312"/>
          <w:color w:val="000000"/>
          <w:spacing w:val="0"/>
          <w:kern w:val="0"/>
          <w:sz w:val="32"/>
          <w:szCs w:val="32"/>
        </w:rPr>
        <w:t xml:space="preserve">  县级人民政府应当根据不可移动朱子文化遗存的类别、内容、规模以及周围的历史和现实情况，提出保护范围和建设控制地带的划定方案，经市级人民政府批准后公布实施。</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第十八条</w:t>
      </w:r>
      <w:r>
        <w:rPr>
          <w:rFonts w:eastAsia="仿宋_GB2312"/>
          <w:bCs/>
          <w:color w:val="000000"/>
          <w:spacing w:val="0"/>
          <w:kern w:val="0"/>
          <w:sz w:val="32"/>
          <w:szCs w:val="32"/>
        </w:rPr>
        <w:t xml:space="preserve">  </w:t>
      </w:r>
      <w:r>
        <w:rPr>
          <w:rFonts w:eastAsia="仿宋_GB2312"/>
          <w:color w:val="000000"/>
          <w:spacing w:val="0"/>
          <w:kern w:val="0"/>
          <w:sz w:val="32"/>
          <w:szCs w:val="32"/>
        </w:rPr>
        <w:t>严格控制朱子文化遗存保护范围和建设控制地带内的项目建设和工程施工。因特殊需要进行项目建设和工程施工的，所在地的县级规划、建设主管部门在审批前应当征求文化文物主管部门意见。</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进行项目建设和工程施工时，应当保证朱子文化遗存的完整、安全，不得破坏其历史风貌。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第十九条</w:t>
      </w:r>
      <w:r>
        <w:rPr>
          <w:rFonts w:eastAsia="黑体"/>
          <w:bCs/>
          <w:color w:val="000000"/>
          <w:spacing w:val="0"/>
          <w:kern w:val="0"/>
          <w:sz w:val="32"/>
          <w:szCs w:val="32"/>
        </w:rPr>
        <w:t xml:space="preserve"> </w:t>
      </w:r>
      <w:r>
        <w:rPr>
          <w:rFonts w:eastAsia="仿宋_GB2312"/>
          <w:color w:val="000000"/>
          <w:spacing w:val="0"/>
          <w:kern w:val="0"/>
          <w:sz w:val="32"/>
          <w:szCs w:val="32"/>
        </w:rPr>
        <w:t xml:space="preserve"> 市、县两级人民政府可以根据朱子文化遗存保护的需要，依法对保护范围和建设控制地带内的房屋、林木等进行收购。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县级人民政府对本行政区域朱子文化遗存保护范围和建设控制地带内违法的建筑物、构筑物和其他设施，应当依法予以拆除。</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spacing w:val="0"/>
          <w:sz w:val="32"/>
          <w:szCs w:val="32"/>
          <w:shd w:val="pct10" w:color="auto" w:fill="D9D9D9"/>
        </w:rPr>
      </w:pPr>
      <w:r>
        <w:rPr>
          <w:rFonts w:hAnsi="黑体" w:eastAsia="黑体"/>
          <w:bCs/>
          <w:color w:val="000000"/>
          <w:spacing w:val="0"/>
          <w:kern w:val="0"/>
          <w:sz w:val="32"/>
          <w:szCs w:val="32"/>
        </w:rPr>
        <w:t>第二十条</w:t>
      </w:r>
      <w:r>
        <w:rPr>
          <w:rFonts w:eastAsia="黑体"/>
          <w:bCs/>
          <w:color w:val="000000"/>
          <w:spacing w:val="0"/>
          <w:kern w:val="0"/>
          <w:sz w:val="32"/>
          <w:szCs w:val="32"/>
        </w:rPr>
        <w:t xml:space="preserve"> </w:t>
      </w:r>
      <w:r>
        <w:rPr>
          <w:rFonts w:eastAsia="仿宋_GB2312"/>
          <w:color w:val="000000"/>
          <w:spacing w:val="0"/>
          <w:kern w:val="0"/>
          <w:sz w:val="32"/>
          <w:szCs w:val="32"/>
        </w:rPr>
        <w:t xml:space="preserve"> 国有朱子文化遗存的使用权人是其保护责任人，非国有朱子文化遗存的所有权人和使用权人是其保护责任人。朱子文化遗存由保护责任人负责日常管理、修缮、保养和安全防范。</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朱子文化遗存有损毁危险，保护责任人不具备维护和修缮能力的，所在地的县级人民政府应当采取措施进行保护。</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第二十一条</w:t>
      </w:r>
      <w:r>
        <w:rPr>
          <w:rFonts w:eastAsia="黑体"/>
          <w:bCs/>
          <w:color w:val="000000"/>
          <w:spacing w:val="0"/>
          <w:kern w:val="0"/>
          <w:sz w:val="32"/>
          <w:szCs w:val="32"/>
        </w:rPr>
        <w:t xml:space="preserve"> </w:t>
      </w:r>
      <w:r>
        <w:rPr>
          <w:rFonts w:eastAsia="仿宋_GB2312"/>
          <w:color w:val="000000"/>
          <w:spacing w:val="0"/>
          <w:sz w:val="32"/>
          <w:szCs w:val="32"/>
        </w:rPr>
        <w:t xml:space="preserve"> </w:t>
      </w:r>
      <w:r>
        <w:rPr>
          <w:rFonts w:eastAsia="仿宋_GB2312"/>
          <w:color w:val="000000"/>
          <w:spacing w:val="0"/>
          <w:kern w:val="0"/>
          <w:sz w:val="32"/>
          <w:szCs w:val="32"/>
        </w:rPr>
        <w:t>对不可移动朱子文化遗存进行修缮时，应当将修缮方案书面报所在地的县级文化文物主管部门批准。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第二十二条</w:t>
      </w:r>
      <w:r>
        <w:rPr>
          <w:rFonts w:eastAsia="仿宋_GB2312"/>
          <w:color w:val="000000"/>
          <w:spacing w:val="0"/>
          <w:kern w:val="0"/>
          <w:sz w:val="32"/>
          <w:szCs w:val="32"/>
        </w:rPr>
        <w:t xml:space="preserve">  不可移动朱子文化遗存实施原址保护，任何单位、组织和个人不得擅自迁移、拆除。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因国家重点工程、重大市政基础设施和公共服务设施建设等公共利益需要，必须迁移异地保护的，由建设单位会同所在地的县级文化文物、规划、建设主管部门制定迁移异地保护方案，经所在地的县级人民政府报市级人民政府批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已公布为历史建筑的，按照国家和省有关法律、法规的规定进行处理。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第二十三条</w:t>
      </w:r>
      <w:r>
        <w:rPr>
          <w:rFonts w:eastAsia="仿宋_GB2312"/>
          <w:color w:val="000000"/>
          <w:spacing w:val="0"/>
          <w:kern w:val="0"/>
          <w:sz w:val="32"/>
          <w:szCs w:val="32"/>
        </w:rPr>
        <w:t xml:space="preserve">  不可移动的朱子文化遗存已经全部毁坏的，应当实施遗址保护，不得擅自在原址上重建。因特殊需要原址重建的，由市级人民政府批准。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第二十四条</w:t>
      </w:r>
      <w:r>
        <w:rPr>
          <w:rFonts w:eastAsia="仿宋_GB2312"/>
          <w:b/>
          <w:color w:val="000000"/>
          <w:spacing w:val="0"/>
          <w:kern w:val="0"/>
          <w:sz w:val="32"/>
          <w:szCs w:val="32"/>
        </w:rPr>
        <w:t xml:space="preserve">  </w:t>
      </w:r>
      <w:r>
        <w:rPr>
          <w:rFonts w:eastAsia="仿宋_GB2312"/>
          <w:color w:val="000000"/>
          <w:spacing w:val="0"/>
          <w:kern w:val="0"/>
          <w:sz w:val="32"/>
          <w:szCs w:val="32"/>
        </w:rPr>
        <w:t>市、县、乡三级人民政府应当加强朱子文化遗存周边区域的环境保护，防止水土流失和环境污染等对朱子文化遗存原生态和历史风貌造成破坏。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第二十五条</w:t>
      </w:r>
      <w:r>
        <w:rPr>
          <w:rFonts w:eastAsia="仿宋_GB2312"/>
          <w:b/>
          <w:color w:val="000000"/>
          <w:spacing w:val="0"/>
          <w:kern w:val="0"/>
          <w:sz w:val="32"/>
          <w:szCs w:val="32"/>
        </w:rPr>
        <w:t xml:space="preserve">  </w:t>
      </w:r>
      <w:r>
        <w:rPr>
          <w:rFonts w:eastAsia="仿宋_GB2312"/>
          <w:color w:val="000000"/>
          <w:spacing w:val="0"/>
          <w:kern w:val="0"/>
          <w:sz w:val="32"/>
          <w:szCs w:val="32"/>
        </w:rPr>
        <w:t>县级人民政府负责本行政区域内朱子文化遗存的公共安全防护设施建设，定期组织有关部门对朱子文化遗存设施、场所的水、电、气、火以及防盗等管理情况开展检查。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第二十六条</w:t>
      </w:r>
      <w:r>
        <w:rPr>
          <w:rFonts w:eastAsia="黑体"/>
          <w:bCs/>
          <w:color w:val="000000"/>
          <w:spacing w:val="0"/>
          <w:kern w:val="0"/>
          <w:sz w:val="32"/>
          <w:szCs w:val="32"/>
        </w:rPr>
        <w:t xml:space="preserve"> </w:t>
      </w:r>
      <w:r>
        <w:rPr>
          <w:rFonts w:eastAsia="仿宋_GB2312"/>
          <w:b/>
          <w:color w:val="000000"/>
          <w:spacing w:val="0"/>
          <w:kern w:val="0"/>
          <w:sz w:val="32"/>
          <w:szCs w:val="32"/>
        </w:rPr>
        <w:t xml:space="preserve"> </w:t>
      </w:r>
      <w:r>
        <w:rPr>
          <w:rFonts w:eastAsia="仿宋_GB2312"/>
          <w:color w:val="000000"/>
          <w:spacing w:val="0"/>
          <w:kern w:val="0"/>
          <w:sz w:val="32"/>
          <w:szCs w:val="32"/>
        </w:rPr>
        <w:t>发生突发事件造成或者可能造成朱子文化遗存重大损失时，所在地的县级人民政府及其文化文物主管部门应当及时采取应急措施，组织抢救保护，并向市级人民政府及其文化文物主管部门报告。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第二十七条</w:t>
      </w:r>
      <w:r>
        <w:rPr>
          <w:rFonts w:eastAsia="黑体"/>
          <w:bCs/>
          <w:color w:val="000000"/>
          <w:spacing w:val="0"/>
          <w:kern w:val="0"/>
          <w:sz w:val="32"/>
          <w:szCs w:val="32"/>
        </w:rPr>
        <w:t xml:space="preserve"> </w:t>
      </w:r>
      <w:r>
        <w:rPr>
          <w:rFonts w:eastAsia="仿宋_GB2312"/>
          <w:b/>
          <w:color w:val="000000"/>
          <w:spacing w:val="0"/>
          <w:kern w:val="0"/>
          <w:sz w:val="32"/>
          <w:szCs w:val="32"/>
        </w:rPr>
        <w:t xml:space="preserve"> </w:t>
      </w:r>
      <w:r>
        <w:rPr>
          <w:rFonts w:eastAsia="仿宋_GB2312"/>
          <w:color w:val="000000"/>
          <w:spacing w:val="0"/>
          <w:kern w:val="0"/>
          <w:sz w:val="32"/>
          <w:szCs w:val="32"/>
        </w:rPr>
        <w:t>市、县两级人民政府设立的收藏、研究等文化机构可以对朱子文化资料和实物进行征集、收购。在征集、收购时，应当遵循公平、</w:t>
      </w:r>
      <w:r>
        <w:rPr>
          <w:rFonts w:eastAsia="仿宋_GB2312"/>
          <w:color w:val="000000"/>
          <w:spacing w:val="0"/>
          <w:kern w:val="0"/>
          <w:sz w:val="32"/>
          <w:szCs w:val="32"/>
        </w:rPr>
        <w:fldChar w:fldCharType="begin"/>
      </w:r>
      <w:r>
        <w:rPr>
          <w:rFonts w:eastAsia="仿宋_GB2312"/>
          <w:color w:val="000000"/>
          <w:spacing w:val="0"/>
          <w:kern w:val="0"/>
          <w:sz w:val="32"/>
          <w:szCs w:val="32"/>
        </w:rPr>
        <w:instrText xml:space="preserve"> HYPERLINK "http://baike.sogou.com/lemma/ShowInnerLink.htm?lemmaId=682025" \t "_blank" </w:instrText>
      </w:r>
      <w:r>
        <w:rPr>
          <w:rFonts w:eastAsia="仿宋_GB2312"/>
          <w:color w:val="000000"/>
          <w:spacing w:val="0"/>
          <w:kern w:val="0"/>
          <w:sz w:val="32"/>
          <w:szCs w:val="32"/>
        </w:rPr>
        <w:fldChar w:fldCharType="separate"/>
      </w:r>
      <w:r>
        <w:rPr>
          <w:rStyle w:val="10"/>
          <w:rFonts w:eastAsia="仿宋_GB2312"/>
          <w:color w:val="000000"/>
          <w:spacing w:val="0"/>
          <w:kern w:val="0"/>
          <w:sz w:val="32"/>
          <w:szCs w:val="32"/>
          <w:u w:val="none"/>
        </w:rPr>
        <w:t>自愿原则</w:t>
      </w:r>
      <w:r>
        <w:rPr>
          <w:rFonts w:eastAsia="仿宋_GB2312"/>
          <w:color w:val="000000"/>
          <w:spacing w:val="0"/>
          <w:kern w:val="0"/>
          <w:sz w:val="32"/>
          <w:szCs w:val="32"/>
        </w:rPr>
        <w:fldChar w:fldCharType="end"/>
      </w:r>
      <w:r>
        <w:rPr>
          <w:rFonts w:eastAsia="仿宋_GB2312"/>
          <w:color w:val="000000"/>
          <w:spacing w:val="0"/>
          <w:kern w:val="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bCs/>
          <w:color w:val="000000"/>
          <w:spacing w:val="0"/>
          <w:kern w:val="0"/>
          <w:sz w:val="32"/>
          <w:szCs w:val="32"/>
        </w:rPr>
      </w:pPr>
      <w:r>
        <w:rPr>
          <w:rFonts w:hAnsi="黑体" w:eastAsia="黑体"/>
          <w:bCs/>
          <w:color w:val="000000"/>
          <w:spacing w:val="0"/>
          <w:kern w:val="0"/>
          <w:sz w:val="32"/>
          <w:szCs w:val="32"/>
        </w:rPr>
        <w:t>第二十八条</w:t>
      </w:r>
      <w:r>
        <w:rPr>
          <w:rFonts w:eastAsia="仿宋_GB2312"/>
          <w:b/>
          <w:color w:val="000000"/>
          <w:spacing w:val="0"/>
          <w:kern w:val="0"/>
          <w:sz w:val="32"/>
          <w:szCs w:val="32"/>
        </w:rPr>
        <w:t xml:space="preserve">  </w:t>
      </w:r>
      <w:r>
        <w:rPr>
          <w:rFonts w:eastAsia="仿宋_GB2312"/>
          <w:color w:val="000000"/>
          <w:spacing w:val="0"/>
          <w:kern w:val="0"/>
          <w:sz w:val="32"/>
          <w:szCs w:val="32"/>
        </w:rPr>
        <w:t>鼓励单位、组织和个人将其所收藏的朱子文化资料和实物捐赠或者出借给政府设立的收藏、研究等文化机构。受赠人和借用人应当尊重捐赠人或者出借人的意愿，对捐赠物或者出借物妥善收藏、保管和展示。</w:t>
      </w:r>
    </w:p>
    <w:p>
      <w:pPr>
        <w:keepNext w:val="0"/>
        <w:keepLines w:val="0"/>
        <w:pageBreakBefore w:val="0"/>
        <w:widowControl w:val="0"/>
        <w:shd w:val="clear" w:color="auto" w:fill="FFFFFF"/>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eastAsia="黑体"/>
          <w:bCs/>
          <w:color w:val="000000"/>
          <w:spacing w:val="0"/>
          <w:kern w:val="0"/>
          <w:sz w:val="32"/>
          <w:szCs w:val="32"/>
        </w:rPr>
      </w:pPr>
      <w:r>
        <w:rPr>
          <w:rFonts w:hAnsi="黑体" w:eastAsia="黑体"/>
          <w:bCs/>
          <w:color w:val="000000"/>
          <w:spacing w:val="0"/>
          <w:kern w:val="0"/>
          <w:sz w:val="32"/>
          <w:szCs w:val="32"/>
        </w:rPr>
        <w:t>第四章</w:t>
      </w:r>
      <w:r>
        <w:rPr>
          <w:rFonts w:eastAsia="黑体"/>
          <w:bCs/>
          <w:color w:val="000000"/>
          <w:spacing w:val="0"/>
          <w:kern w:val="0"/>
          <w:sz w:val="32"/>
          <w:szCs w:val="32"/>
        </w:rPr>
        <w:t xml:space="preserve">  </w:t>
      </w:r>
      <w:r>
        <w:rPr>
          <w:rFonts w:hAnsi="黑体" w:eastAsia="黑体"/>
          <w:bCs/>
          <w:color w:val="000000"/>
          <w:spacing w:val="0"/>
          <w:kern w:val="0"/>
          <w:sz w:val="32"/>
          <w:szCs w:val="32"/>
        </w:rPr>
        <w:t>开发利用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第二十九条</w:t>
      </w:r>
      <w:r>
        <w:rPr>
          <w:rFonts w:eastAsia="黑体"/>
          <w:bCs/>
          <w:color w:val="000000"/>
          <w:spacing w:val="0"/>
          <w:kern w:val="0"/>
          <w:sz w:val="32"/>
          <w:szCs w:val="32"/>
        </w:rPr>
        <w:t xml:space="preserve"> </w:t>
      </w:r>
      <w:r>
        <w:rPr>
          <w:rFonts w:eastAsia="仿宋_GB2312"/>
          <w:b/>
          <w:color w:val="000000"/>
          <w:spacing w:val="0"/>
          <w:kern w:val="0"/>
          <w:sz w:val="32"/>
          <w:szCs w:val="32"/>
        </w:rPr>
        <w:t xml:space="preserve"> </w:t>
      </w:r>
      <w:r>
        <w:rPr>
          <w:rFonts w:eastAsia="仿宋_GB2312"/>
          <w:color w:val="000000"/>
          <w:spacing w:val="0"/>
          <w:kern w:val="0"/>
          <w:sz w:val="32"/>
          <w:szCs w:val="32"/>
        </w:rPr>
        <w:t>鼓励利用朱子文化遗存举办陈列、展览，开展形式多样的社会教育和服务活动，对朱子文化遗存所体现的优秀传统文化进行宣传教育。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对具备开放条件的朱子文化遗存，应当向公众开放。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第三十条</w:t>
      </w:r>
      <w:r>
        <w:rPr>
          <w:rFonts w:eastAsia="仿宋_GB2312"/>
          <w:b/>
          <w:color w:val="000000"/>
          <w:spacing w:val="0"/>
          <w:kern w:val="0"/>
          <w:sz w:val="32"/>
          <w:szCs w:val="32"/>
        </w:rPr>
        <w:t xml:space="preserve">  </w:t>
      </w:r>
      <w:r>
        <w:rPr>
          <w:rFonts w:eastAsia="仿宋_GB2312"/>
          <w:color w:val="000000"/>
          <w:spacing w:val="0"/>
          <w:kern w:val="0"/>
          <w:sz w:val="32"/>
          <w:szCs w:val="32"/>
        </w:rPr>
        <w:t>鼓励社会各界开展与朱子文化遗存有关的理论和应用研究。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市、县两级传统文化教育基地和德育教育基地应当发挥宣传教育功能，践行和培育社会主义核心价值观。</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第三十一条</w:t>
      </w:r>
      <w:r>
        <w:rPr>
          <w:rFonts w:eastAsia="仿宋_GB2312"/>
          <w:b/>
          <w:color w:val="000000"/>
          <w:spacing w:val="0"/>
          <w:kern w:val="0"/>
          <w:sz w:val="32"/>
          <w:szCs w:val="32"/>
        </w:rPr>
        <w:t xml:space="preserve">  </w:t>
      </w:r>
      <w:r>
        <w:rPr>
          <w:rFonts w:eastAsia="仿宋_GB2312"/>
          <w:color w:val="000000"/>
          <w:spacing w:val="0"/>
          <w:kern w:val="0"/>
          <w:sz w:val="32"/>
          <w:szCs w:val="32"/>
        </w:rPr>
        <w:t>市、县两级人民政府应当立足朱子文化遗存资源，打造朱子文化品牌，做好朱子文化遗存知识产权保护工作，开展同省内外、港澳台地区以及国际间的交流与合作，推动朱子文化的传播、传承与发展。</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第三十二条</w:t>
      </w:r>
      <w:r>
        <w:rPr>
          <w:rFonts w:eastAsia="仿宋_GB2312"/>
          <w:b/>
          <w:color w:val="000000"/>
          <w:spacing w:val="0"/>
          <w:kern w:val="0"/>
          <w:sz w:val="32"/>
          <w:szCs w:val="32"/>
        </w:rPr>
        <w:t xml:space="preserve">  </w:t>
      </w:r>
      <w:r>
        <w:rPr>
          <w:rFonts w:eastAsia="仿宋_GB2312"/>
          <w:color w:val="000000"/>
          <w:spacing w:val="0"/>
          <w:kern w:val="0"/>
          <w:sz w:val="32"/>
          <w:szCs w:val="32"/>
        </w:rPr>
        <w:t>允许对朱子文化遗存进行保护性利用，鼓励和支持社会资本参与朱子文化遗存保护与开发，投资建设朱子文化遗存保护设施。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朱子文化遗存的保护性利用应当与其历史价值、结构特点相适应，不得擅自改变遗存主体结构和外观，不得危害遗存及其附属设施的安全。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利用朱子文化遗存或者在朱子文化遗存的保护范围和建设控制地带内进行重大影视拍摄活动的，应当征求所在地的文化文物主管部门的意见。</w:t>
      </w:r>
    </w:p>
    <w:p>
      <w:pPr>
        <w:keepNext w:val="0"/>
        <w:keepLines w:val="0"/>
        <w:pageBreakBefore w:val="0"/>
        <w:widowControl w:val="0"/>
        <w:shd w:val="clear" w:color="auto" w:fill="FFFFFF"/>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eastAsia="黑体"/>
          <w:bCs/>
          <w:color w:val="000000"/>
          <w:spacing w:val="0"/>
          <w:kern w:val="0"/>
          <w:sz w:val="32"/>
          <w:szCs w:val="32"/>
        </w:rPr>
      </w:pPr>
      <w:r>
        <w:rPr>
          <w:rFonts w:hAnsi="黑体" w:eastAsia="黑体"/>
          <w:bCs/>
          <w:color w:val="000000"/>
          <w:spacing w:val="0"/>
          <w:kern w:val="0"/>
          <w:sz w:val="32"/>
          <w:szCs w:val="32"/>
        </w:rPr>
        <w:t>第五章</w:t>
      </w:r>
      <w:r>
        <w:rPr>
          <w:rFonts w:eastAsia="黑体"/>
          <w:bCs/>
          <w:color w:val="000000"/>
          <w:spacing w:val="0"/>
          <w:kern w:val="0"/>
          <w:sz w:val="32"/>
          <w:szCs w:val="32"/>
        </w:rPr>
        <w:t xml:space="preserve">  </w:t>
      </w:r>
      <w:r>
        <w:rPr>
          <w:rFonts w:hAnsi="黑体" w:eastAsia="黑体"/>
          <w:bCs/>
          <w:color w:val="000000"/>
          <w:spacing w:val="0"/>
          <w:kern w:val="0"/>
          <w:sz w:val="32"/>
          <w:szCs w:val="32"/>
        </w:rPr>
        <w:t>法律责任</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第三十三条</w:t>
      </w:r>
      <w:r>
        <w:rPr>
          <w:rFonts w:eastAsia="黑体"/>
          <w:bCs/>
          <w:color w:val="000000"/>
          <w:spacing w:val="0"/>
          <w:kern w:val="0"/>
          <w:sz w:val="32"/>
          <w:szCs w:val="32"/>
        </w:rPr>
        <w:t xml:space="preserve"> </w:t>
      </w:r>
      <w:r>
        <w:rPr>
          <w:rFonts w:eastAsia="仿宋_GB2312"/>
          <w:b/>
          <w:color w:val="000000"/>
          <w:spacing w:val="0"/>
          <w:kern w:val="0"/>
          <w:sz w:val="32"/>
          <w:szCs w:val="32"/>
        </w:rPr>
        <w:t xml:space="preserve"> </w:t>
      </w:r>
      <w:r>
        <w:rPr>
          <w:rFonts w:eastAsia="仿宋_GB2312"/>
          <w:color w:val="000000"/>
          <w:spacing w:val="0"/>
          <w:kern w:val="0"/>
          <w:sz w:val="32"/>
          <w:szCs w:val="32"/>
        </w:rPr>
        <w:t>违反本条例规定，造成朱子文化遗存损毁、灭失的，依法承担民事责任；构成违反治安管理行为的，由公安机关依法给予治安管理处罚；构成犯罪的，依法追究刑事责任。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第三十四条</w:t>
      </w:r>
      <w:r>
        <w:rPr>
          <w:rFonts w:eastAsia="仿宋_GB2312"/>
          <w:b/>
          <w:color w:val="000000"/>
          <w:spacing w:val="0"/>
          <w:kern w:val="0"/>
          <w:sz w:val="32"/>
          <w:szCs w:val="32"/>
        </w:rPr>
        <w:t xml:space="preserve">  </w:t>
      </w:r>
      <w:r>
        <w:rPr>
          <w:rFonts w:eastAsia="仿宋_GB2312"/>
          <w:color w:val="000000"/>
          <w:spacing w:val="0"/>
          <w:kern w:val="0"/>
          <w:sz w:val="32"/>
          <w:szCs w:val="32"/>
        </w:rPr>
        <w:t>违反本条例规定，擅自设置、移动、损毁朱子文化遗存保护标志、保护设施，或者在保护标志、保护设施上张贴、刻划的，由所在地县级文化文物主管部门给予警告，责令限期改正、按价赔偿；拒不改正的，对个人处二百元以上一千元以下罚款，对单位处二千元以上一万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第三十五条</w:t>
      </w:r>
      <w:r>
        <w:rPr>
          <w:rFonts w:eastAsia="仿宋_GB2312"/>
          <w:b/>
          <w:color w:val="000000"/>
          <w:spacing w:val="0"/>
          <w:kern w:val="0"/>
          <w:sz w:val="32"/>
          <w:szCs w:val="32"/>
        </w:rPr>
        <w:t xml:space="preserve">  </w:t>
      </w:r>
      <w:r>
        <w:rPr>
          <w:rFonts w:eastAsia="仿宋_GB2312"/>
          <w:color w:val="000000"/>
          <w:spacing w:val="0"/>
          <w:kern w:val="0"/>
          <w:sz w:val="32"/>
          <w:szCs w:val="32"/>
        </w:rPr>
        <w:t>违反本条例规定，有下列行为之一的，由所在地的县级规划、建设、公安、环境保护等有关部门依法处理；构成犯罪的，依法追究刑事责任。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（一）擅自在朱子文化遗存的保护范围和建设控制地带内进行项目建设和工程施工的；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（二）在朱子文化遗存的保护范围和建设控制地带内进行项目建设和工程施工，其工程建设方案未经规划、建设主管部门批准，或者未按照批准的工程建设方案进行施工的；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仿宋_GB2312" w:eastAsia="仿宋_GB2312"/>
          <w:color w:val="000000"/>
          <w:spacing w:val="0"/>
          <w:kern w:val="0"/>
          <w:sz w:val="32"/>
          <w:szCs w:val="32"/>
        </w:rPr>
        <w:t>（三）擅自修缮不可移动朱子文化遗存的；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仿宋_GB2312" w:eastAsia="仿宋_GB2312"/>
          <w:color w:val="000000"/>
          <w:spacing w:val="0"/>
          <w:kern w:val="0"/>
          <w:sz w:val="32"/>
          <w:szCs w:val="32"/>
        </w:rPr>
        <w:t>（四）擅自迁移或者拆除不可移动朱子文化遗存的；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（五）擅自在原址上重建已经全部毁坏的不可移动朱子文化遗存的；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w w:val="98"/>
          <w:kern w:val="0"/>
          <w:sz w:val="32"/>
          <w:szCs w:val="32"/>
        </w:rPr>
      </w:pPr>
      <w:r>
        <w:rPr>
          <w:rFonts w:eastAsia="仿宋_GB2312"/>
          <w:color w:val="000000"/>
          <w:spacing w:val="0"/>
          <w:kern w:val="0"/>
          <w:sz w:val="32"/>
          <w:szCs w:val="32"/>
        </w:rPr>
        <w:t>（六）对朱子文化遗存及其环境造</w:t>
      </w:r>
      <w:r>
        <w:rPr>
          <w:rFonts w:eastAsia="仿宋_GB2312"/>
          <w:color w:val="000000"/>
          <w:spacing w:val="0"/>
          <w:w w:val="98"/>
          <w:kern w:val="0"/>
          <w:sz w:val="32"/>
          <w:szCs w:val="32"/>
        </w:rPr>
        <w:t>成污染，或者对朱子文化遗存原生态和历史风貌造成破坏的；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（七）擅自在朱子文化遗存的保护范围和建设控制地带内存放易燃、易爆、易腐蚀物品的；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（八）在朱子文化遗存的保护范围和建设控制地带内违规用水、用电、用气、用火，造成朱子文化遗存损毁的；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eastAsia="仿宋_GB2312"/>
          <w:color w:val="000000"/>
          <w:spacing w:val="0"/>
          <w:kern w:val="0"/>
          <w:sz w:val="32"/>
          <w:szCs w:val="32"/>
        </w:rPr>
        <w:t>（九）擅自在朱子文化遗存的保护范围内设置广告设施，对朱子文化遗存本体或者其历史风貌造成破坏的。</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eastAsia="仿宋_GB2312"/>
          <w:color w:val="000000"/>
          <w:spacing w:val="0"/>
          <w:kern w:val="0"/>
          <w:sz w:val="32"/>
          <w:szCs w:val="32"/>
        </w:rPr>
      </w:pPr>
      <w:r>
        <w:rPr>
          <w:rFonts w:hAnsi="黑体" w:eastAsia="黑体"/>
          <w:bCs/>
          <w:color w:val="000000"/>
          <w:spacing w:val="0"/>
          <w:kern w:val="0"/>
          <w:sz w:val="32"/>
          <w:szCs w:val="32"/>
        </w:rPr>
        <w:t>第三十六条</w:t>
      </w:r>
      <w:r>
        <w:rPr>
          <w:rFonts w:eastAsia="仿宋_GB2312"/>
          <w:b/>
          <w:color w:val="000000"/>
          <w:spacing w:val="0"/>
          <w:kern w:val="0"/>
          <w:sz w:val="32"/>
          <w:szCs w:val="32"/>
        </w:rPr>
        <w:t xml:space="preserve">  </w:t>
      </w:r>
      <w:r>
        <w:rPr>
          <w:rFonts w:eastAsia="仿宋_GB2312"/>
          <w:color w:val="000000"/>
          <w:spacing w:val="0"/>
          <w:kern w:val="0"/>
          <w:sz w:val="32"/>
          <w:szCs w:val="32"/>
        </w:rPr>
        <w:t xml:space="preserve">市、县两级文化文物主管部门或者其他有关部门及其工作人员，违反本条例规定，滥用职权、玩忽职守、徇私舞弊，造成朱子文化遗存损毁或者灭失的，对负有责任的主管人员和其他直接责任人员依法给予行政处分；构成犯罪的，依法追究刑事责任。           </w:t>
      </w:r>
    </w:p>
    <w:p>
      <w:pPr>
        <w:keepNext w:val="0"/>
        <w:keepLines w:val="0"/>
        <w:pageBreakBefore w:val="0"/>
        <w:widowControl w:val="0"/>
        <w:shd w:val="clear" w:color="auto" w:fill="FFFFFF"/>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eastAsia="黑体"/>
          <w:bCs/>
          <w:color w:val="000000"/>
          <w:spacing w:val="0"/>
          <w:kern w:val="0"/>
          <w:sz w:val="32"/>
          <w:szCs w:val="32"/>
        </w:rPr>
      </w:pPr>
      <w:r>
        <w:rPr>
          <w:rFonts w:hAnsi="黑体" w:eastAsia="黑体"/>
          <w:bCs/>
          <w:color w:val="000000"/>
          <w:spacing w:val="0"/>
          <w:kern w:val="0"/>
          <w:sz w:val="32"/>
          <w:szCs w:val="32"/>
        </w:rPr>
        <w:t>第六章</w:t>
      </w:r>
      <w:r>
        <w:rPr>
          <w:rFonts w:eastAsia="黑体"/>
          <w:bCs/>
          <w:color w:val="000000"/>
          <w:spacing w:val="0"/>
          <w:kern w:val="0"/>
          <w:sz w:val="32"/>
          <w:szCs w:val="32"/>
        </w:rPr>
        <w:t xml:space="preserve">  </w:t>
      </w:r>
      <w:r>
        <w:rPr>
          <w:rFonts w:hAnsi="黑体" w:eastAsia="黑体"/>
          <w:bCs/>
          <w:color w:val="000000"/>
          <w:spacing w:val="0"/>
          <w:kern w:val="0"/>
          <w:sz w:val="32"/>
          <w:szCs w:val="32"/>
        </w:rPr>
        <w:t>附</w:t>
      </w:r>
      <w:r>
        <w:rPr>
          <w:rFonts w:eastAsia="黑体"/>
          <w:bCs/>
          <w:color w:val="000000"/>
          <w:spacing w:val="0"/>
          <w:kern w:val="0"/>
          <w:sz w:val="32"/>
          <w:szCs w:val="32"/>
        </w:rPr>
        <w:t xml:space="preserve">   </w:t>
      </w:r>
      <w:r>
        <w:rPr>
          <w:rFonts w:hAnsi="黑体" w:eastAsia="黑体"/>
          <w:bCs/>
          <w:color w:val="000000"/>
          <w:spacing w:val="0"/>
          <w:kern w:val="0"/>
          <w:sz w:val="32"/>
          <w:szCs w:val="32"/>
        </w:rPr>
        <w:t>则</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24" w:firstLineChars="200"/>
        <w:textAlignment w:val="auto"/>
        <w:outlineLvl w:val="9"/>
        <w:rPr>
          <w:spacing w:val="0"/>
          <w:sz w:val="16"/>
          <w:szCs w:val="16"/>
        </w:rPr>
      </w:pPr>
      <w:r>
        <w:rPr>
          <w:rFonts w:hAnsi="黑体" w:eastAsia="黑体"/>
          <w:bCs/>
          <w:color w:val="000000"/>
          <w:spacing w:val="0"/>
          <w:kern w:val="0"/>
          <w:sz w:val="32"/>
          <w:szCs w:val="32"/>
        </w:rPr>
        <w:t>第三十七条</w:t>
      </w:r>
      <w:r>
        <w:rPr>
          <w:rFonts w:eastAsia="黑体"/>
          <w:bCs/>
          <w:color w:val="000000"/>
          <w:spacing w:val="0"/>
          <w:kern w:val="0"/>
          <w:sz w:val="32"/>
          <w:szCs w:val="32"/>
        </w:rPr>
        <w:t xml:space="preserve">  </w:t>
      </w:r>
      <w:r>
        <w:rPr>
          <w:rFonts w:eastAsia="仿宋_GB2312"/>
          <w:color w:val="000000"/>
          <w:spacing w:val="0"/>
          <w:kern w:val="0"/>
          <w:sz w:val="32"/>
          <w:szCs w:val="32"/>
        </w:rPr>
        <w:t>本条例自2017年9月1日起施行。</w:t>
      </w:r>
      <w:r>
        <w:rPr>
          <w:rFonts w:eastAsia="黑体"/>
          <w:bCs/>
          <w:color w:val="000000"/>
          <w:spacing w:val="0"/>
          <w:kern w:val="0"/>
          <w:sz w:val="30"/>
          <w:szCs w:val="30"/>
        </w:rPr>
        <w:t xml:space="preserve">  </w:t>
      </w:r>
      <w:bookmarkStart w:id="0" w:name="_GoBack"/>
      <w:bookmarkEnd w:id="0"/>
    </w:p>
    <w:sectPr>
      <w:footerReference r:id="rId3" w:type="default"/>
      <w:footerReference r:id="rId4" w:type="even"/>
      <w:pgSz w:w="11906" w:h="16838"/>
      <w:pgMar w:top="2098" w:right="1474" w:bottom="1984" w:left="1587" w:header="851" w:footer="1417" w:gutter="0"/>
      <w:pgNumType w:fmt="decimal"/>
      <w:cols w:space="0" w:num="1"/>
      <w:titlePg/>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h">
    <w:altName w:val="Courier New"/>
    <w:panose1 w:val="00000000000000000000"/>
    <w:charset w:val="00"/>
    <w:family w:val="auto"/>
    <w:pitch w:val="default"/>
    <w:sig w:usb0="00000000" w:usb1="00000000" w:usb2="00000000" w:usb3="00000000" w:csb0="00000000" w:csb1="00000000"/>
  </w:font>
  <w:font w:name="he">
    <w:altName w:val="Courier New"/>
    <w:panose1 w:val="00000000000000000000"/>
    <w:charset w:val="00"/>
    <w:family w:val="auto"/>
    <w:pitch w:val="default"/>
    <w:sig w:usb0="00000000" w:usb1="00000000" w:usb2="00000000" w:usb3="00000000" w:csb0="00000000" w:csb1="00000000"/>
  </w:font>
  <w:font w:name="hei">
    <w:altName w:val="Courier New"/>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方正小标宋_GBK">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altName w:val="宋体"/>
    <w:panose1 w:val="03000509000000000000"/>
    <w:charset w:val="86"/>
    <w:family w:val="auto"/>
    <w:pitch w:val="default"/>
    <w:sig w:usb0="00000000" w:usb1="0000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方正楷体_GBK">
    <w:altName w:val="楷体_GB2312"/>
    <w:panose1 w:val="03000509000000000000"/>
    <w:charset w:val="86"/>
    <w:family w:val="auto"/>
    <w:pitch w:val="default"/>
    <w:sig w:usb0="00000000" w:usb1="00000000" w:usb2="00000000" w:usb3="00000000" w:csb0="00040000" w:csb1="00000000"/>
  </w:font>
  <w:font w:name="@方正仿宋_GBK">
    <w:altName w:val="仿宋"/>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粗活意简体">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rPr>
        <w:rFonts w:ascii="宋体" w:hAnsi="宋体" w:eastAsia="宋体" w:cs="宋体"/>
        <w:sz w:val="28"/>
        <w:szCs w:val="28"/>
      </w:rPr>
    </w:pPr>
    <w:r>
      <w:rPr>
        <w:sz w:val="2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p>
    <w:pPr>
      <w:pStyle w:val="6"/>
      <w:jc w:val="right"/>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65408" behindDoc="0" locked="0" layoutInCell="1" allowOverlap="1">
              <wp:simplePos x="0" y="0"/>
              <wp:positionH relativeFrom="margin">
                <wp:posOffset>10160</wp:posOffset>
              </wp:positionH>
              <wp:positionV relativeFrom="paragraph">
                <wp:posOffset>-10795</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8pt;margin-top:-0.85pt;height:144pt;width:144pt;mso-position-horizontal-relative:margin;mso-wrap-style:none;z-index:251665408;mso-width-relative:page;mso-height-relative:page;" filled="f" stroked="f" coordsize="21600,21600" o:gfxdata="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lw0GQ1QAAAAgBAAAPAAAAAAAA&#10;AAEAIAAAACIAAABkcnMvZG93bnJldi54bWxQSwECFAAUAAAACACHTuJA1NWzYBUCAAATBAAADgAA&#10;AAAAAAABACAAAAAkAQAAZHJzL2Uyb0RvYy54bWxQSwUGAAAAAAYABgBZAQAAqwU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8"/>
  <w:drawingGridVerticalSpacing w:val="293"/>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5949B5"/>
    <w:rsid w:val="00692326"/>
    <w:rsid w:val="007C10EC"/>
    <w:rsid w:val="00852229"/>
    <w:rsid w:val="008A74CA"/>
    <w:rsid w:val="009134B6"/>
    <w:rsid w:val="009A1AC4"/>
    <w:rsid w:val="009A7AD0"/>
    <w:rsid w:val="009E55E3"/>
    <w:rsid w:val="00B05A25"/>
    <w:rsid w:val="00B555FC"/>
    <w:rsid w:val="00BE2684"/>
    <w:rsid w:val="00BE4CA9"/>
    <w:rsid w:val="00BF07B6"/>
    <w:rsid w:val="00BF346C"/>
    <w:rsid w:val="00C33DEC"/>
    <w:rsid w:val="00D8454D"/>
    <w:rsid w:val="00DE2024"/>
    <w:rsid w:val="00E129C5"/>
    <w:rsid w:val="00EB25A0"/>
    <w:rsid w:val="00FB3CD6"/>
    <w:rsid w:val="00FF55D6"/>
    <w:rsid w:val="013326D6"/>
    <w:rsid w:val="029F7894"/>
    <w:rsid w:val="044C2C86"/>
    <w:rsid w:val="066F0B5D"/>
    <w:rsid w:val="09051DB0"/>
    <w:rsid w:val="0F8276E5"/>
    <w:rsid w:val="10353C25"/>
    <w:rsid w:val="10543FF0"/>
    <w:rsid w:val="10B569B0"/>
    <w:rsid w:val="11621F6A"/>
    <w:rsid w:val="13645720"/>
    <w:rsid w:val="13BF66F5"/>
    <w:rsid w:val="13FD2F95"/>
    <w:rsid w:val="14664146"/>
    <w:rsid w:val="14DF1382"/>
    <w:rsid w:val="14F02A1B"/>
    <w:rsid w:val="164C5A31"/>
    <w:rsid w:val="16EB5928"/>
    <w:rsid w:val="18FD1B59"/>
    <w:rsid w:val="19183BF2"/>
    <w:rsid w:val="1D5E5D74"/>
    <w:rsid w:val="1EA33493"/>
    <w:rsid w:val="1ED47B24"/>
    <w:rsid w:val="200436FB"/>
    <w:rsid w:val="20870D43"/>
    <w:rsid w:val="225E0FE5"/>
    <w:rsid w:val="227D1D48"/>
    <w:rsid w:val="23364216"/>
    <w:rsid w:val="25A70033"/>
    <w:rsid w:val="271E2FC5"/>
    <w:rsid w:val="272D1EFC"/>
    <w:rsid w:val="27472783"/>
    <w:rsid w:val="27492C26"/>
    <w:rsid w:val="282C699D"/>
    <w:rsid w:val="290F6583"/>
    <w:rsid w:val="2A2047E3"/>
    <w:rsid w:val="2A9F29E7"/>
    <w:rsid w:val="2AA57F05"/>
    <w:rsid w:val="2C170CE0"/>
    <w:rsid w:val="2C5366A5"/>
    <w:rsid w:val="2CB814DF"/>
    <w:rsid w:val="2D3850F7"/>
    <w:rsid w:val="2E8D4CCB"/>
    <w:rsid w:val="31ED5038"/>
    <w:rsid w:val="32E407C4"/>
    <w:rsid w:val="33487B47"/>
    <w:rsid w:val="33626122"/>
    <w:rsid w:val="33947524"/>
    <w:rsid w:val="34562DAC"/>
    <w:rsid w:val="3507255E"/>
    <w:rsid w:val="35785589"/>
    <w:rsid w:val="35E96503"/>
    <w:rsid w:val="38A15D65"/>
    <w:rsid w:val="39CD28CD"/>
    <w:rsid w:val="3BE85E9A"/>
    <w:rsid w:val="3DB0625D"/>
    <w:rsid w:val="3E4D07B7"/>
    <w:rsid w:val="409870CF"/>
    <w:rsid w:val="43011A6F"/>
    <w:rsid w:val="44975F3C"/>
    <w:rsid w:val="47947680"/>
    <w:rsid w:val="4958611C"/>
    <w:rsid w:val="4BF0703E"/>
    <w:rsid w:val="4C286A46"/>
    <w:rsid w:val="4D8D1BE0"/>
    <w:rsid w:val="4E347B1C"/>
    <w:rsid w:val="4F03442F"/>
    <w:rsid w:val="4F8E6196"/>
    <w:rsid w:val="51F23402"/>
    <w:rsid w:val="52821BBC"/>
    <w:rsid w:val="53B9265D"/>
    <w:rsid w:val="53FA3AD6"/>
    <w:rsid w:val="5795079D"/>
    <w:rsid w:val="57A2632A"/>
    <w:rsid w:val="58B67BCC"/>
    <w:rsid w:val="5A41165A"/>
    <w:rsid w:val="5C202124"/>
    <w:rsid w:val="5CF07E35"/>
    <w:rsid w:val="5E3E7E16"/>
    <w:rsid w:val="5EFF5FA9"/>
    <w:rsid w:val="62BA122B"/>
    <w:rsid w:val="63841FE6"/>
    <w:rsid w:val="63BE7F25"/>
    <w:rsid w:val="652F7511"/>
    <w:rsid w:val="65BD79EA"/>
    <w:rsid w:val="667C171A"/>
    <w:rsid w:val="66BA07D4"/>
    <w:rsid w:val="6A605B94"/>
    <w:rsid w:val="6B846AF4"/>
    <w:rsid w:val="6CD42621"/>
    <w:rsid w:val="6CFB4E5D"/>
    <w:rsid w:val="6F0C259C"/>
    <w:rsid w:val="700C69D5"/>
    <w:rsid w:val="717760FD"/>
    <w:rsid w:val="73A25A7D"/>
    <w:rsid w:val="777375E5"/>
    <w:rsid w:val="77F57B2C"/>
    <w:rsid w:val="78471425"/>
    <w:rsid w:val="7AB2498F"/>
    <w:rsid w:val="7B577A39"/>
    <w:rsid w:val="7BB67C3A"/>
    <w:rsid w:val="7BF364F5"/>
    <w:rsid w:val="7BF66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6"/>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5"/>
    <w:unhideWhenUsed/>
    <w:qFormat/>
    <w:uiPriority w:val="0"/>
    <w:pPr>
      <w:keepNext/>
      <w:keepLines/>
      <w:spacing w:beforeLines="100" w:afterLines="100"/>
      <w:jc w:val="center"/>
      <w:outlineLvl w:val="2"/>
    </w:pPr>
    <w:rPr>
      <w:rFonts w:eastAsia="黑体"/>
    </w:rPr>
  </w:style>
  <w:style w:type="character" w:default="1" w:styleId="9">
    <w:name w:val="Default Paragraph Font"/>
    <w:unhideWhenUsed/>
    <w:qFormat/>
    <w:uiPriority w:val="1"/>
  </w:style>
  <w:style w:type="table" w:default="1" w:styleId="11">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5">
    <w:name w:val="Body Text"/>
    <w:basedOn w:val="1"/>
    <w:qFormat/>
    <w:uiPriority w:val="0"/>
    <w:pPr>
      <w:spacing w:line="360" w:lineRule="auto"/>
    </w:pPr>
    <w:rPr>
      <w:sz w:val="24"/>
    </w:rPr>
  </w:style>
  <w:style w:type="paragraph" w:styleId="6">
    <w:name w:val="footer"/>
    <w:basedOn w:val="1"/>
    <w:link w:val="13"/>
    <w:qFormat/>
    <w:uiPriority w:val="0"/>
    <w:pPr>
      <w:tabs>
        <w:tab w:val="center" w:pos="4153"/>
        <w:tab w:val="right" w:pos="8306"/>
      </w:tabs>
      <w:snapToGrid w:val="0"/>
      <w:jc w:val="left"/>
    </w:pPr>
    <w:rPr>
      <w:rFonts w:ascii="宋体" w:hAnsi="宋体"/>
      <w:sz w:val="28"/>
    </w:rPr>
  </w:style>
  <w:style w:type="paragraph" w:styleId="7">
    <w:name w:val="header"/>
    <w:basedOn w:val="1"/>
    <w:link w:val="14"/>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rPr>
      <w:sz w:val="24"/>
    </w:rPr>
  </w:style>
  <w:style w:type="character" w:styleId="10">
    <w:name w:val="Hyperlink"/>
    <w:basedOn w:val="9"/>
    <w:qFormat/>
    <w:uiPriority w:val="0"/>
    <w:rPr>
      <w:color w:val="0000FF"/>
      <w:u w:val="single"/>
    </w:rPr>
  </w:style>
  <w:style w:type="table" w:styleId="12">
    <w:name w:val="Table Grid"/>
    <w:basedOn w:val="11"/>
    <w:qFormat/>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3">
    <w:name w:val="页脚 Char"/>
    <w:basedOn w:val="9"/>
    <w:link w:val="6"/>
    <w:qFormat/>
    <w:uiPriority w:val="0"/>
    <w:rPr>
      <w:sz w:val="18"/>
      <w:szCs w:val="18"/>
    </w:rPr>
  </w:style>
  <w:style w:type="character" w:customStyle="1" w:styleId="14">
    <w:name w:val="页眉 Char"/>
    <w:basedOn w:val="9"/>
    <w:link w:val="7"/>
    <w:qFormat/>
    <w:uiPriority w:val="0"/>
    <w:rPr>
      <w:sz w:val="18"/>
      <w:szCs w:val="18"/>
    </w:rPr>
  </w:style>
  <w:style w:type="character" w:customStyle="1" w:styleId="15">
    <w:name w:val="标题 3 Char"/>
    <w:link w:val="4"/>
    <w:qFormat/>
    <w:uiPriority w:val="0"/>
    <w:rPr>
      <w:rFonts w:eastAsia="黑体"/>
    </w:rPr>
  </w:style>
  <w:style w:type="character" w:customStyle="1" w:styleId="16">
    <w:name w:val="标题 2 Char"/>
    <w:basedOn w:val="9"/>
    <w:link w:val="3"/>
    <w:qFormat/>
    <w:uiPriority w:val="0"/>
    <w:rPr>
      <w:rFonts w:hint="default" w:ascii="Arial" w:hAnsi="Arial" w:eastAsia="黑体" w:cs="Arial"/>
      <w:b/>
      <w:kern w:val="2"/>
      <w:sz w:val="32"/>
      <w:szCs w:val="32"/>
    </w:rPr>
  </w:style>
  <w:style w:type="paragraph" w:customStyle="1" w:styleId="17">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8099</Words>
  <Characters>331</Characters>
  <Lines>2</Lines>
  <Paragraphs>16</Paragraphs>
  <ScaleCrop>false</ScaleCrop>
  <LinksUpToDate>false</LinksUpToDate>
  <CharactersWithSpaces>8414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2017-08-09T01:07:00Z</cp:lastPrinted>
  <dcterms:modified xsi:type="dcterms:W3CDTF">2017-09-05T02:15:48Z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