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bidi w:val="0"/>
        <w:adjustRightInd w:val="0"/>
        <w:snapToGrid w:val="0"/>
        <w:spacing w:line="570" w:lineRule="exact"/>
        <w:jc w:val="center"/>
        <w:textAlignment w:val="auto"/>
        <w:rPr>
          <w:rFonts w:hint="eastAsia" w:ascii="Times New Roman" w:hAnsi="Times New Roman" w:eastAsia="黑体"/>
          <w:color w:val="auto"/>
        </w:rPr>
      </w:pPr>
      <w:bookmarkStart w:id="24" w:name="_GoBack"/>
      <w:bookmarkEnd w:id="24"/>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rPr>
          <w:rFonts w:hint="eastAsia" w:ascii="Times New Roman" w:hAnsi="Times New Roman" w:eastAsia="楷体_GB2312" w:cs="楷体_GB2312"/>
          <w:bCs/>
          <w:color w:val="auto"/>
        </w:rPr>
      </w:pPr>
      <w:r>
        <w:rPr>
          <w:rFonts w:hint="eastAsia" w:ascii="Times New Roman" w:eastAsia="宋体"/>
          <w:sz w:val="44"/>
          <w:szCs w:val="44"/>
        </w:rPr>
        <w:t>厦门经济特区地方金融条例</w:t>
      </w:r>
    </w:p>
    <w:p>
      <w:pPr>
        <w:keepNext w:val="0"/>
        <w:keepLines w:val="0"/>
        <w:pageBreakBefore w:val="0"/>
        <w:widowControl w:val="0"/>
        <w:kinsoku/>
        <w:overflowPunct/>
        <w:topLinePunct w:val="0"/>
        <w:bidi w:val="0"/>
        <w:adjustRightInd w:val="0"/>
        <w:snapToGrid w:val="0"/>
        <w:spacing w:line="570" w:lineRule="exact"/>
        <w:jc w:val="center"/>
        <w:textAlignment w:val="auto"/>
        <w:rPr>
          <w:rFonts w:hint="eastAsia" w:ascii="Times New Roman" w:eastAsia="宋体"/>
          <w:sz w:val="44"/>
          <w:szCs w:val="44"/>
        </w:rPr>
      </w:pPr>
    </w:p>
    <w:p>
      <w:pPr>
        <w:keepNext w:val="0"/>
        <w:keepLines w:val="0"/>
        <w:pageBreakBefore w:val="0"/>
        <w:widowControl w:val="0"/>
        <w:kinsoku/>
        <w:wordWrap/>
        <w:overflowPunct/>
        <w:topLinePunct w:val="0"/>
        <w:bidi w:val="0"/>
        <w:spacing w:line="570" w:lineRule="exact"/>
        <w:ind w:left="608" w:leftChars="200" w:right="608" w:rightChars="200"/>
        <w:textAlignment w:val="auto"/>
        <w:rPr>
          <w:rFonts w:hint="eastAsia" w:ascii="楷体_GB2312" w:hAnsi="楷体_GB2312" w:eastAsia="楷体_GB2312" w:cs="楷体_GB2312"/>
          <w:bCs/>
          <w:color w:val="auto"/>
          <w:lang w:val="en-US" w:eastAsia="zh-CN"/>
        </w:rPr>
      </w:pPr>
      <w:r>
        <w:rPr>
          <w:rFonts w:hint="eastAsia" w:ascii="楷体_GB2312" w:hAnsi="楷体_GB2312" w:eastAsia="楷体_GB2312" w:cs="楷体_GB2312"/>
          <w:bCs/>
          <w:color w:val="auto"/>
          <w:lang w:val="en-US" w:eastAsia="zh-CN"/>
        </w:rPr>
        <w:t>（2020年10月30日厦门市第十五届人民代表大会常务委员会第三十八次会议通过）</w:t>
      </w:r>
    </w:p>
    <w:p>
      <w:pPr>
        <w:keepNext w:val="0"/>
        <w:keepLines w:val="0"/>
        <w:pageBreakBefore w:val="0"/>
        <w:widowControl w:val="0"/>
        <w:kinsoku/>
        <w:wordWrap/>
        <w:overflowPunct/>
        <w:topLinePunct w:val="0"/>
        <w:bidi w:val="0"/>
        <w:spacing w:line="570" w:lineRule="exact"/>
        <w:ind w:left="608" w:leftChars="200" w:right="608" w:rightChars="200"/>
        <w:textAlignment w:val="auto"/>
        <w:rPr>
          <w:rFonts w:hint="eastAsia" w:ascii="方正楷体_GBK" w:hAnsi="方正楷体_GBK" w:eastAsia="方正楷体_GBK" w:cs="方正楷体_GBK"/>
          <w:bCs/>
          <w:color w:val="auto"/>
        </w:rPr>
      </w:pPr>
    </w:p>
    <w:p>
      <w:pPr>
        <w:keepNext w:val="0"/>
        <w:keepLines w:val="0"/>
        <w:pageBreakBefore w:val="0"/>
        <w:widowControl w:val="0"/>
        <w:kinsoku/>
        <w:wordWrap/>
        <w:overflowPunct/>
        <w:topLinePunct w:val="0"/>
        <w:bidi w:val="0"/>
        <w:adjustRightInd w:val="0"/>
        <w:snapToGrid w:val="0"/>
        <w:spacing w:line="570" w:lineRule="exact"/>
        <w:jc w:val="center"/>
        <w:textAlignment w:val="auto"/>
        <w:rPr>
          <w:rFonts w:hint="eastAsia" w:ascii="Times New Roman" w:hAnsi="Times New Roman" w:eastAsia="楷体_GB2312"/>
          <w:bCs/>
          <w:color w:val="auto"/>
        </w:rPr>
      </w:pPr>
      <w:r>
        <w:rPr>
          <w:rFonts w:hint="eastAsia" w:ascii="Times New Roman" w:hAnsi="Times New Roman" w:eastAsia="楷体_GB2312"/>
          <w:bCs/>
          <w:color w:val="auto"/>
        </w:rPr>
        <w:t>目 录</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第一章　总则</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第二章　促进措施</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第三章  业务规范</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第四章  监督管理</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第五章  法律责任</w:t>
      </w:r>
    </w:p>
    <w:p>
      <w:pPr>
        <w:keepNext w:val="0"/>
        <w:keepLines w:val="0"/>
        <w:pageBreakBefore w:val="0"/>
        <w:widowControl w:val="0"/>
        <w:kinsoku/>
        <w:wordWrap/>
        <w:overflowPunct/>
        <w:topLinePunct w:val="0"/>
        <w:bidi w:val="0"/>
        <w:spacing w:line="570" w:lineRule="exact"/>
        <w:ind w:firstLine="608" w:firstLineChars="200"/>
        <w:textAlignment w:val="auto"/>
        <w:rPr>
          <w:rFonts w:hint="eastAsia" w:ascii="Times New Roman" w:hAnsi="Times New Roman" w:eastAsia="楷体_GB2312" w:cs="黑体"/>
        </w:rPr>
      </w:pPr>
      <w:r>
        <w:rPr>
          <w:rFonts w:hint="eastAsia" w:ascii="Times New Roman" w:hAnsi="Times New Roman" w:eastAsia="楷体_GB2312" w:cs="黑体"/>
        </w:rPr>
        <w:t>第六章　附则</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bCs/>
        </w:rPr>
      </w:pPr>
      <w:r>
        <w:rPr>
          <w:rFonts w:hint="eastAsia" w:ascii="Times New Roman" w:hAnsi="Times New Roman" w:eastAsia="黑体" w:cs="黑体"/>
        </w:rPr>
        <w:t>第一章  总则</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第一条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为</w:t>
      </w:r>
      <w:r>
        <w:rPr>
          <w:rFonts w:hint="eastAsia" w:ascii="CESI仿宋-GB2312" w:hAnsi="CESI仿宋-GB2312" w:eastAsia="CESI仿宋-GB2312" w:cs="CESI仿宋-GB2312"/>
          <w:color w:val="auto"/>
          <w:sz w:val="32"/>
          <w:szCs w:val="32"/>
          <w:u w:val="none"/>
        </w:rPr>
        <w:t>了规范地方金融组织及其活动，</w:t>
      </w:r>
      <w:r>
        <w:rPr>
          <w:rFonts w:hint="eastAsia" w:ascii="CESI仿宋-GB2312" w:hAnsi="CESI仿宋-GB2312" w:eastAsia="CESI仿宋-GB2312" w:cs="CESI仿宋-GB2312"/>
          <w:color w:val="auto"/>
          <w:sz w:val="32"/>
          <w:szCs w:val="32"/>
          <w:u w:val="none"/>
          <w:lang w:eastAsia="zh-CN"/>
        </w:rPr>
        <w:t>促进</w:t>
      </w:r>
      <w:r>
        <w:rPr>
          <w:rFonts w:hint="eastAsia" w:ascii="CESI仿宋-GB2312" w:hAnsi="CESI仿宋-GB2312" w:eastAsia="CESI仿宋-GB2312" w:cs="CESI仿宋-GB2312"/>
          <w:color w:val="auto"/>
          <w:sz w:val="32"/>
          <w:szCs w:val="32"/>
          <w:u w:val="none"/>
        </w:rPr>
        <w:t>金融服务实体经济，维护金融消费者和金融投资者的合法权益，防范和化解金融风险，遵循有关法律、行政法规的基本原则，结合厦门经济特区实际，制定本条例。</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第二条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本市行政区域内的地方金融组织、地方金融监督管理部门以及相关组织和个人，应当遵守本条例。</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本条例所称地方金融组织，包括小额贷款公司、融资担保公司、区域性股权市场、典当行、融资租赁公司、商业保理公司、地方资产管理公司、从事权益类或者大宗商品类交易的地方各类交易场所（以下称地方各类交易场所）以及法律、行政法规规定和国务院授权地方人民政府进行监督管理的从事金融业务活动的其他组织。</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pacing w:val="-4"/>
          <w:sz w:val="32"/>
          <w:szCs w:val="32"/>
          <w:u w:val="none"/>
        </w:rPr>
      </w:pPr>
      <w:r>
        <w:rPr>
          <w:rFonts w:hint="eastAsia" w:ascii="黑体" w:hAnsi="黑体" w:eastAsia="黑体" w:cs="黑体"/>
          <w:b w:val="0"/>
          <w:bCs w:val="0"/>
          <w:color w:val="auto"/>
          <w:sz w:val="32"/>
          <w:szCs w:val="32"/>
          <w:u w:val="none"/>
        </w:rPr>
        <w:t xml:space="preserve">第三条 </w:t>
      </w:r>
      <w:r>
        <w:rPr>
          <w:rFonts w:hint="eastAsia" w:ascii="CESI仿宋-GB2312" w:hAnsi="CESI仿宋-GB2312" w:eastAsia="CESI仿宋-GB2312" w:cs="CESI仿宋-GB2312"/>
          <w:b/>
          <w:bCs/>
          <w:color w:val="auto"/>
          <w:spacing w:val="-4"/>
          <w:sz w:val="32"/>
          <w:szCs w:val="32"/>
          <w:u w:val="none"/>
        </w:rPr>
        <w:t xml:space="preserve"> </w:t>
      </w:r>
      <w:r>
        <w:rPr>
          <w:rFonts w:hint="eastAsia" w:ascii="CESI仿宋-GB2312" w:hAnsi="CESI仿宋-GB2312" w:eastAsia="CESI仿宋-GB2312" w:cs="CESI仿宋-GB2312"/>
          <w:color w:val="auto"/>
          <w:spacing w:val="-4"/>
          <w:sz w:val="32"/>
          <w:szCs w:val="32"/>
          <w:u w:val="none"/>
        </w:rPr>
        <w:t>地方金融工作应当坚持促进发展与防范风险相结合，遵循创新发展、积极稳妥、安全审慎的原则。</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第四条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人民政府组织领导全市地方金融工作，建立地方金融工作议事协调机制，统筹地方金融发展、监督管理和风险防范处置的重大事项，加强与国家驻厦金融管理机构在地方金融监督管理、风险处置、信息共享、权益保护、反洗钱等方面的协作。</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color w:val="auto"/>
          <w:sz w:val="32"/>
          <w:szCs w:val="32"/>
          <w:u w:val="none"/>
        </w:rPr>
        <w:t>市地方金融监督管理部门具体负责地方金融发展的指导、协调、服务工作，依法对地方金融组织业务活动实施监督管理，承担地方金融组织风险处置责任。</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区人民政府负责本辖区内地方金融发展工作，配合开展对本辖区内地方金融组织的监督管理工作，履行属地金融风险防范处置职责。</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发展改革、财政、市场监督管理、公安等部门按照各自职责做好地方金融相关工作。</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第五条 </w:t>
      </w:r>
      <w:r>
        <w:rPr>
          <w:rFonts w:hint="eastAsia" w:ascii="CESI仿宋-GB2312" w:hAnsi="CESI仿宋-GB2312" w:eastAsia="CESI仿宋-GB2312" w:cs="CESI仿宋-GB2312"/>
          <w:bCs/>
          <w:color w:val="auto"/>
          <w:sz w:val="32"/>
          <w:szCs w:val="32"/>
          <w:u w:val="none"/>
        </w:rPr>
        <w:t xml:space="preserve"> 鼓励中国（福建）自由贸易试验区厦门片区、两岸区域性金融中心片区</w:t>
      </w:r>
      <w:r>
        <w:rPr>
          <w:rFonts w:hint="eastAsia" w:ascii="CESI仿宋-GB2312" w:hAnsi="CESI仿宋-GB2312" w:eastAsia="CESI仿宋-GB2312" w:cs="CESI仿宋-GB2312"/>
          <w:bCs/>
          <w:color w:val="auto"/>
          <w:sz w:val="32"/>
          <w:szCs w:val="32"/>
          <w:u w:val="none"/>
          <w:shd w:val="clear" w:color="auto" w:fill="auto"/>
          <w:lang w:eastAsia="zh-CN"/>
        </w:rPr>
        <w:t>等</w:t>
      </w:r>
      <w:r>
        <w:rPr>
          <w:rFonts w:hint="eastAsia" w:ascii="CESI仿宋-GB2312" w:hAnsi="CESI仿宋-GB2312" w:eastAsia="CESI仿宋-GB2312" w:cs="CESI仿宋-GB2312"/>
          <w:bCs/>
          <w:color w:val="auto"/>
          <w:sz w:val="32"/>
          <w:szCs w:val="32"/>
          <w:u w:val="none"/>
        </w:rPr>
        <w:t>在地方金融领域的体制机制、政策措施、对台交流等方面先行先试，推动地方金融业务、监管互动机制创新，适时在全市推广。</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第六条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w:t>
      </w:r>
      <w:r>
        <w:rPr>
          <w:rFonts w:hint="eastAsia" w:ascii="CESI仿宋-GB2312" w:hAnsi="CESI仿宋-GB2312" w:eastAsia="CESI仿宋-GB2312" w:cs="CESI仿宋-GB2312"/>
          <w:color w:val="auto"/>
          <w:sz w:val="32"/>
          <w:szCs w:val="32"/>
          <w:u w:val="none"/>
        </w:rPr>
        <w:t>、区人民政府及其有关部门应当采取多种形式加强金融法律、法规和有关知识的宣传教育，提高公众金融知识水平和风险防范意识。</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广播、电视、报刊、网络等媒体应当开展金融知识和风险防范公益性宣传，营造良好的金融发展舆论环境。</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rPr>
      </w:pPr>
      <w:r>
        <w:rPr>
          <w:rFonts w:hint="eastAsia" w:ascii="Times New Roman" w:hAnsi="Times New Roman" w:eastAsia="黑体" w:cs="黑体"/>
        </w:rPr>
        <w:t>第二章  促进措施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第七条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市人民政府应当采取措施促进地方金融发展，建设多层次、多功能的金融市场体系，支持金融科技发展，营造良好的金融生态环境。</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
          <w:bCs/>
          <w:color w:val="auto"/>
          <w:sz w:val="32"/>
          <w:szCs w:val="32"/>
          <w:u w:val="none"/>
        </w:rPr>
      </w:pPr>
      <w:r>
        <w:rPr>
          <w:rFonts w:hint="eastAsia" w:ascii="黑体" w:hAnsi="黑体" w:eastAsia="黑体" w:cs="黑体"/>
          <w:b w:val="0"/>
          <w:bCs w:val="0"/>
          <w:color w:val="auto"/>
          <w:sz w:val="32"/>
          <w:szCs w:val="32"/>
          <w:u w:val="none"/>
        </w:rPr>
        <w:t>第八条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市人民政府应当制定全市金融发展规划，将地方金融产业发展作为全市金融发展规划的重要组成部分，明确地方金融产业发展的目标、任务、重点和保障措施等内容。</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第九条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市、区人民政府应当做好资金保障工作，安排地方金融发展资金，用于</w:t>
      </w:r>
      <w:r>
        <w:rPr>
          <w:rFonts w:hint="eastAsia" w:ascii="CESI仿宋-GB2312" w:hAnsi="CESI仿宋-GB2312" w:eastAsia="CESI仿宋-GB2312" w:cs="CESI仿宋-GB2312"/>
          <w:bCs/>
          <w:color w:val="auto"/>
          <w:sz w:val="32"/>
          <w:szCs w:val="32"/>
          <w:u w:val="none"/>
          <w:lang w:eastAsia="zh-CN"/>
        </w:rPr>
        <w:t>对</w:t>
      </w:r>
      <w:r>
        <w:rPr>
          <w:rFonts w:hint="eastAsia" w:ascii="CESI仿宋-GB2312" w:hAnsi="CESI仿宋-GB2312" w:eastAsia="CESI仿宋-GB2312" w:cs="CESI仿宋-GB2312"/>
          <w:bCs/>
          <w:color w:val="auto"/>
          <w:sz w:val="32"/>
          <w:szCs w:val="32"/>
          <w:u w:val="none"/>
        </w:rPr>
        <w:t>地方金融组织</w:t>
      </w:r>
      <w:r>
        <w:rPr>
          <w:rFonts w:hint="eastAsia" w:ascii="CESI仿宋-GB2312" w:hAnsi="CESI仿宋-GB2312" w:eastAsia="CESI仿宋-GB2312" w:cs="CESI仿宋-GB2312"/>
          <w:bCs/>
          <w:color w:val="auto"/>
          <w:sz w:val="32"/>
          <w:szCs w:val="32"/>
          <w:u w:val="none"/>
          <w:lang w:eastAsia="zh-CN"/>
        </w:rPr>
        <w:t>的发展</w:t>
      </w:r>
      <w:r>
        <w:rPr>
          <w:rFonts w:hint="eastAsia" w:ascii="CESI仿宋-GB2312" w:hAnsi="CESI仿宋-GB2312" w:eastAsia="CESI仿宋-GB2312" w:cs="CESI仿宋-GB2312"/>
          <w:bCs/>
          <w:color w:val="auto"/>
          <w:sz w:val="32"/>
          <w:szCs w:val="32"/>
          <w:u w:val="none"/>
          <w:shd w:val="clear" w:color="auto" w:fill="auto"/>
        </w:rPr>
        <w:t>、</w:t>
      </w:r>
      <w:r>
        <w:rPr>
          <w:rFonts w:hint="eastAsia" w:ascii="CESI仿宋-GB2312" w:hAnsi="CESI仿宋-GB2312" w:eastAsia="CESI仿宋-GB2312" w:cs="CESI仿宋-GB2312"/>
          <w:bCs/>
          <w:color w:val="auto"/>
          <w:sz w:val="32"/>
          <w:szCs w:val="32"/>
          <w:u w:val="none"/>
        </w:rPr>
        <w:t>创新、人才的奖励以及与地方金融产业发展相关的其他扶持项目。</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第十条</w:t>
      </w:r>
      <w:r>
        <w:rPr>
          <w:rFonts w:hint="eastAsia" w:ascii="CESI仿宋-GB2312" w:hAnsi="CESI仿宋-GB2312" w:eastAsia="CESI仿宋-GB2312" w:cs="CESI仿宋-GB2312"/>
          <w:bCs/>
          <w:color w:val="auto"/>
          <w:sz w:val="32"/>
          <w:szCs w:val="32"/>
          <w:u w:val="none"/>
        </w:rPr>
        <w:t xml:space="preserve">  </w:t>
      </w:r>
      <w:r>
        <w:rPr>
          <w:rFonts w:hint="eastAsia" w:ascii="CESI仿宋-GB2312" w:hAnsi="CESI仿宋-GB2312" w:eastAsia="CESI仿宋-GB2312" w:cs="CESI仿宋-GB2312"/>
          <w:color w:val="auto"/>
          <w:sz w:val="32"/>
          <w:szCs w:val="32"/>
          <w:u w:val="none"/>
        </w:rPr>
        <w:t>市人民政府应当制定金融人才发展规划，完善金融人才队伍建设长效机制，建设功能完备、高效便捷的金融人才服务体系，引进和培养高层次、复合型金融人才。</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符合条件的金融人才按照规定享受财税扶持、培养进修、社会保险、医疗保健、子女教育、住房租购、落户和出入境等方面的优惠政策措施。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第十一条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市、区人民政府应当采取措施，鼓励金融要素投向重点产业、重点项目和重点领域，引导产业转型升级和经济高质量发展。</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前款规定的重点产业、重点项目和重点领域，由市发展改革部门会同市工业和信息化、科技、商务等有关部门制定目录并向社会公布。</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第十二条</w:t>
      </w:r>
      <w:r>
        <w:rPr>
          <w:rFonts w:hint="eastAsia" w:ascii="CESI仿宋-GB2312" w:hAnsi="CESI仿宋-GB2312" w:eastAsia="CESI仿宋-GB2312" w:cs="CESI仿宋-GB2312"/>
          <w:bCs/>
          <w:color w:val="auto"/>
          <w:sz w:val="32"/>
          <w:szCs w:val="32"/>
          <w:u w:val="none"/>
        </w:rPr>
        <w:t xml:space="preserve">  市人民政府安排资金，引导民间资本参与组建产业投资基金、创业投资基金、并购基金等各类股权投资基金，促进金融服务实体经济。</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支持社会资本在本市设立面向金融科技行业领域的产业投资基金。对重点投向本地金融科技企业的股权投资基金，可以在政府引导基金出资规定比例内予以重点支持。</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第十三条</w:t>
      </w:r>
      <w:r>
        <w:rPr>
          <w:rFonts w:hint="eastAsia" w:ascii="CESI仿宋-GB2312" w:hAnsi="CESI仿宋-GB2312" w:eastAsia="CESI仿宋-GB2312" w:cs="CESI仿宋-GB2312"/>
          <w:bCs/>
          <w:color w:val="auto"/>
          <w:sz w:val="32"/>
          <w:szCs w:val="32"/>
          <w:u w:val="none"/>
        </w:rPr>
        <w:t xml:space="preserve">  市、区人民政府应当综合利用各种方式，支持地方金融组织为本辖区内中小微企业</w:t>
      </w:r>
      <w:r>
        <w:rPr>
          <w:rFonts w:hint="eastAsia" w:ascii="CESI仿宋-GB2312" w:hAnsi="CESI仿宋-GB2312" w:eastAsia="CESI仿宋-GB2312" w:cs="CESI仿宋-GB2312"/>
          <w:bCs/>
          <w:color w:val="auto"/>
          <w:sz w:val="32"/>
          <w:szCs w:val="32"/>
          <w:u w:val="none"/>
          <w:lang w:eastAsia="zh-CN"/>
        </w:rPr>
        <w:t>和</w:t>
      </w:r>
      <w:r>
        <w:rPr>
          <w:rFonts w:hint="eastAsia" w:ascii="CESI仿宋-GB2312" w:hAnsi="CESI仿宋-GB2312" w:eastAsia="CESI仿宋-GB2312" w:cs="CESI仿宋-GB2312"/>
          <w:bCs/>
          <w:color w:val="auto"/>
          <w:sz w:val="32"/>
          <w:szCs w:val="32"/>
          <w:u w:val="none"/>
        </w:rPr>
        <w:t>农业、农村</w:t>
      </w:r>
      <w:r>
        <w:rPr>
          <w:rFonts w:hint="eastAsia" w:ascii="CESI仿宋-GB2312" w:hAnsi="CESI仿宋-GB2312" w:eastAsia="CESI仿宋-GB2312" w:cs="CESI仿宋-GB2312"/>
          <w:bCs/>
          <w:color w:val="auto"/>
          <w:sz w:val="32"/>
          <w:szCs w:val="32"/>
          <w:u w:val="none"/>
          <w:lang w:eastAsia="zh-CN"/>
        </w:rPr>
        <w:t>、</w:t>
      </w:r>
      <w:r>
        <w:rPr>
          <w:rFonts w:hint="eastAsia" w:ascii="CESI仿宋-GB2312" w:hAnsi="CESI仿宋-GB2312" w:eastAsia="CESI仿宋-GB2312" w:cs="CESI仿宋-GB2312"/>
          <w:bCs/>
          <w:color w:val="auto"/>
          <w:sz w:val="32"/>
          <w:szCs w:val="32"/>
          <w:u w:val="none"/>
        </w:rPr>
        <w:t>农民提供融资服务。</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鼓励银行业金融机构对以中小微企业</w:t>
      </w:r>
      <w:r>
        <w:rPr>
          <w:rFonts w:hint="eastAsia" w:ascii="CESI仿宋-GB2312" w:hAnsi="CESI仿宋-GB2312" w:eastAsia="CESI仿宋-GB2312" w:cs="CESI仿宋-GB2312"/>
          <w:bCs/>
          <w:color w:val="auto"/>
          <w:sz w:val="32"/>
          <w:szCs w:val="32"/>
          <w:u w:val="none"/>
          <w:lang w:eastAsia="zh-CN"/>
        </w:rPr>
        <w:t>和</w:t>
      </w:r>
      <w:r>
        <w:rPr>
          <w:rFonts w:hint="eastAsia" w:ascii="CESI仿宋-GB2312" w:hAnsi="CESI仿宋-GB2312" w:eastAsia="CESI仿宋-GB2312" w:cs="CESI仿宋-GB2312"/>
          <w:bCs/>
          <w:color w:val="auto"/>
          <w:sz w:val="32"/>
          <w:szCs w:val="32"/>
          <w:u w:val="none"/>
        </w:rPr>
        <w:t>农业、农村</w:t>
      </w:r>
      <w:r>
        <w:rPr>
          <w:rFonts w:hint="eastAsia" w:ascii="CESI仿宋-GB2312" w:hAnsi="CESI仿宋-GB2312" w:eastAsia="CESI仿宋-GB2312" w:cs="CESI仿宋-GB2312"/>
          <w:bCs/>
          <w:color w:val="auto"/>
          <w:sz w:val="32"/>
          <w:szCs w:val="32"/>
          <w:u w:val="none"/>
          <w:lang w:eastAsia="zh-CN"/>
        </w:rPr>
        <w:t>、</w:t>
      </w:r>
      <w:r>
        <w:rPr>
          <w:rFonts w:hint="eastAsia" w:ascii="CESI仿宋-GB2312" w:hAnsi="CESI仿宋-GB2312" w:eastAsia="CESI仿宋-GB2312" w:cs="CESI仿宋-GB2312"/>
          <w:bCs/>
          <w:color w:val="auto"/>
          <w:sz w:val="32"/>
          <w:szCs w:val="32"/>
          <w:u w:val="none"/>
        </w:rPr>
        <w:t>农民为主要服务对象的地方金融组织加大信贷支持力度。</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lang w:eastAsia="zh-CN"/>
        </w:rPr>
      </w:pPr>
      <w:r>
        <w:rPr>
          <w:rFonts w:hint="eastAsia" w:ascii="黑体" w:hAnsi="黑体" w:eastAsia="黑体" w:cs="黑体"/>
          <w:b w:val="0"/>
          <w:bCs w:val="0"/>
          <w:color w:val="auto"/>
          <w:sz w:val="32"/>
          <w:szCs w:val="32"/>
          <w:u w:val="none"/>
        </w:rPr>
        <w:t>第十四条</w:t>
      </w:r>
      <w:r>
        <w:rPr>
          <w:rFonts w:hint="eastAsia" w:ascii="CESI仿宋-GB2312" w:hAnsi="CESI仿宋-GB2312" w:eastAsia="CESI仿宋-GB2312" w:cs="CESI仿宋-GB2312"/>
          <w:bCs/>
          <w:color w:val="auto"/>
          <w:sz w:val="32"/>
          <w:szCs w:val="32"/>
          <w:u w:val="none"/>
        </w:rPr>
        <w:t xml:space="preserve">  市、区人民政府应当推动建立政策性融资担保体系，完善风险补偿、政策激励和资本持续补充机制，扩大为中小微企业</w:t>
      </w:r>
      <w:r>
        <w:rPr>
          <w:rFonts w:hint="eastAsia" w:ascii="CESI仿宋-GB2312" w:hAnsi="CESI仿宋-GB2312" w:eastAsia="CESI仿宋-GB2312" w:cs="CESI仿宋-GB2312"/>
          <w:bCs/>
          <w:color w:val="auto"/>
          <w:sz w:val="32"/>
          <w:szCs w:val="32"/>
          <w:u w:val="none"/>
          <w:lang w:eastAsia="zh-CN"/>
        </w:rPr>
        <w:t>和</w:t>
      </w:r>
      <w:r>
        <w:rPr>
          <w:rFonts w:hint="eastAsia" w:ascii="CESI仿宋-GB2312" w:hAnsi="CESI仿宋-GB2312" w:eastAsia="CESI仿宋-GB2312" w:cs="CESI仿宋-GB2312"/>
          <w:bCs/>
          <w:color w:val="auto"/>
          <w:sz w:val="32"/>
          <w:szCs w:val="32"/>
          <w:u w:val="none"/>
        </w:rPr>
        <w:t>农业、农村</w:t>
      </w:r>
      <w:r>
        <w:rPr>
          <w:rFonts w:hint="eastAsia" w:ascii="CESI仿宋-GB2312" w:hAnsi="CESI仿宋-GB2312" w:eastAsia="CESI仿宋-GB2312" w:cs="CESI仿宋-GB2312"/>
          <w:bCs/>
          <w:color w:val="auto"/>
          <w:sz w:val="32"/>
          <w:szCs w:val="32"/>
          <w:u w:val="none"/>
          <w:lang w:eastAsia="zh-CN"/>
        </w:rPr>
        <w:t>、</w:t>
      </w:r>
      <w:r>
        <w:rPr>
          <w:rFonts w:hint="eastAsia" w:ascii="CESI仿宋-GB2312" w:hAnsi="CESI仿宋-GB2312" w:eastAsia="CESI仿宋-GB2312" w:cs="CESI仿宋-GB2312"/>
          <w:bCs/>
          <w:color w:val="auto"/>
          <w:sz w:val="32"/>
          <w:szCs w:val="32"/>
          <w:u w:val="none"/>
        </w:rPr>
        <w:t>农民提供融资担保业务的规模并保持较低的费率水平。</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鼓励融资担保公司与银行业金融机构建立合作和担保责任风险分担机制。</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第十五条</w:t>
      </w:r>
      <w:r>
        <w:rPr>
          <w:rFonts w:hint="eastAsia" w:ascii="CESI仿宋-GB2312" w:hAnsi="CESI仿宋-GB2312" w:eastAsia="CESI仿宋-GB2312" w:cs="CESI仿宋-GB2312"/>
          <w:bCs/>
          <w:color w:val="auto"/>
          <w:sz w:val="32"/>
          <w:szCs w:val="32"/>
          <w:u w:val="none"/>
        </w:rPr>
        <w:t xml:space="preserve">  支持区域性股权市场作为扶持中小微企业政策措施的综合运用平台，为中小微企业提供培育规范、改制挂牌、股权融资等服务，加快发展多层次资本市场。</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第十六条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支持地方金融组织进行融资机制创新</w:t>
      </w:r>
      <w:r>
        <w:rPr>
          <w:rFonts w:hint="eastAsia" w:ascii="CESI仿宋-GB2312" w:hAnsi="CESI仿宋-GB2312" w:eastAsia="CESI仿宋-GB2312" w:cs="CESI仿宋-GB2312"/>
          <w:color w:val="auto"/>
          <w:sz w:val="32"/>
          <w:szCs w:val="32"/>
          <w:u w:val="none"/>
          <w:lang w:eastAsia="zh-CN"/>
        </w:rPr>
        <w:t>，优化地方金融组织的融资环境</w:t>
      </w:r>
      <w:r>
        <w:rPr>
          <w:rFonts w:hint="eastAsia" w:ascii="CESI仿宋-GB2312" w:hAnsi="CESI仿宋-GB2312" w:eastAsia="CESI仿宋-GB2312" w:cs="CESI仿宋-GB2312"/>
          <w:color w:val="auto"/>
          <w:sz w:val="32"/>
          <w:szCs w:val="32"/>
          <w:u w:val="none"/>
        </w:rPr>
        <w:t>。鼓励通过上市、挂牌、发债、资产证券化等方式扩大直接融资，改善融资结构。</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第十七条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建立金融创新激励和保护机制。鼓励地方金融组织运用金融科技手段优化业务流程，丰富服务渠道，完善产品供给，提升服务水平。</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地方金融组织可以根据市场需求，为客户提供个性化、定制化的创新金融产品和金融服务。</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第十八条 </w:t>
      </w:r>
      <w:r>
        <w:rPr>
          <w:rFonts w:hint="eastAsia" w:ascii="CESI仿宋-GB2312" w:hAnsi="CESI仿宋-GB2312" w:eastAsia="CESI仿宋-GB2312" w:cs="CESI仿宋-GB2312"/>
          <w:b/>
          <w:color w:val="auto"/>
          <w:sz w:val="32"/>
          <w:szCs w:val="32"/>
          <w:u w:val="none"/>
        </w:rPr>
        <w:t xml:space="preserve"> </w:t>
      </w:r>
      <w:r>
        <w:rPr>
          <w:rFonts w:hint="eastAsia" w:ascii="CESI仿宋-GB2312" w:hAnsi="CESI仿宋-GB2312" w:eastAsia="CESI仿宋-GB2312" w:cs="CESI仿宋-GB2312"/>
          <w:bCs/>
          <w:color w:val="auto"/>
          <w:sz w:val="32"/>
          <w:szCs w:val="32"/>
          <w:u w:val="none"/>
        </w:rPr>
        <w:t>台湾地区法人及其他组织在本市设立</w:t>
      </w:r>
      <w:r>
        <w:rPr>
          <w:rFonts w:hint="eastAsia" w:ascii="CESI仿宋-GB2312" w:hAnsi="CESI仿宋-GB2312" w:eastAsia="CESI仿宋-GB2312" w:cs="CESI仿宋-GB2312"/>
          <w:color w:val="auto"/>
          <w:sz w:val="32"/>
          <w:szCs w:val="32"/>
          <w:u w:val="none"/>
        </w:rPr>
        <w:t>地方金融组织的，按照规定适用与大陆企业同等政策。</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台湾地区人员担任有任职条件的地方金融组织董事、监事、高级管理人员，其在台湾地区已取得相应任职资格或者从业经验的，视为符合同等任职条件。</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第十九条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依法设立的地方金融组织视同金融机构按照规定享受相关政策支持。</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市、区人民政府及其有关部门通过设立专门窗口、开辟绿色通道、网上办理等方式为依法设立的地方金融组织开展融资抵押</w:t>
      </w:r>
      <w:r>
        <w:rPr>
          <w:rFonts w:hint="eastAsia" w:ascii="CESI仿宋-GB2312" w:hAnsi="CESI仿宋-GB2312" w:eastAsia="CESI仿宋-GB2312" w:cs="CESI仿宋-GB2312"/>
          <w:b/>
          <w:bCs/>
          <w:color w:val="auto"/>
          <w:sz w:val="32"/>
          <w:szCs w:val="32"/>
          <w:u w:val="none"/>
        </w:rPr>
        <w:t>、</w:t>
      </w:r>
      <w:r>
        <w:rPr>
          <w:rFonts w:hint="eastAsia" w:ascii="CESI仿宋-GB2312" w:hAnsi="CESI仿宋-GB2312" w:eastAsia="CESI仿宋-GB2312" w:cs="CESI仿宋-GB2312"/>
          <w:color w:val="auto"/>
          <w:sz w:val="32"/>
          <w:szCs w:val="32"/>
          <w:u w:val="none"/>
        </w:rPr>
        <w:t>质押登记业务等提供便利，及时为其办理融资抵押</w:t>
      </w:r>
      <w:r>
        <w:rPr>
          <w:rFonts w:hint="eastAsia" w:ascii="CESI仿宋-GB2312" w:hAnsi="CESI仿宋-GB2312" w:eastAsia="CESI仿宋-GB2312" w:cs="CESI仿宋-GB2312"/>
          <w:b/>
          <w:bCs/>
          <w:color w:val="auto"/>
          <w:sz w:val="32"/>
          <w:szCs w:val="32"/>
          <w:u w:val="none"/>
        </w:rPr>
        <w:t>、</w:t>
      </w:r>
      <w:r>
        <w:rPr>
          <w:rFonts w:hint="eastAsia" w:ascii="CESI仿宋-GB2312" w:hAnsi="CESI仿宋-GB2312" w:eastAsia="CESI仿宋-GB2312" w:cs="CESI仿宋-GB2312"/>
          <w:bCs/>
          <w:color w:val="auto"/>
          <w:sz w:val="32"/>
          <w:szCs w:val="32"/>
          <w:u w:val="none"/>
        </w:rPr>
        <w:t>质押</w:t>
      </w:r>
      <w:r>
        <w:rPr>
          <w:rFonts w:hint="eastAsia" w:ascii="CESI仿宋-GB2312" w:hAnsi="CESI仿宋-GB2312" w:eastAsia="CESI仿宋-GB2312" w:cs="CESI仿宋-GB2312"/>
          <w:color w:val="auto"/>
          <w:sz w:val="32"/>
          <w:szCs w:val="32"/>
          <w:u w:val="none"/>
        </w:rPr>
        <w:t>登记手续。</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kern w:val="2"/>
          <w:sz w:val="32"/>
          <w:szCs w:val="32"/>
          <w:u w:val="none"/>
          <w:bdr w:val="single" w:color="auto" w:sz="4" w:space="0"/>
          <w:shd w:val="pct10" w:color="auto" w:fill="FFFFFF"/>
        </w:rPr>
      </w:pPr>
      <w:r>
        <w:rPr>
          <w:rFonts w:hint="eastAsia" w:ascii="黑体" w:hAnsi="黑体" w:eastAsia="黑体" w:cs="黑体"/>
          <w:b w:val="0"/>
          <w:bCs w:val="0"/>
          <w:color w:val="auto"/>
          <w:sz w:val="32"/>
          <w:szCs w:val="32"/>
          <w:u w:val="none"/>
        </w:rPr>
        <w:t xml:space="preserve">第二十条 </w:t>
      </w:r>
      <w:r>
        <w:rPr>
          <w:rFonts w:hint="eastAsia" w:ascii="CESI仿宋-GB2312" w:hAnsi="CESI仿宋-GB2312" w:eastAsia="CESI仿宋-GB2312" w:cs="CESI仿宋-GB2312"/>
          <w:color w:val="auto"/>
          <w:sz w:val="32"/>
          <w:szCs w:val="32"/>
          <w:u w:val="none"/>
        </w:rPr>
        <w:t xml:space="preserve"> 人民法院</w:t>
      </w:r>
      <w:r>
        <w:rPr>
          <w:rFonts w:hint="eastAsia" w:ascii="CESI仿宋-GB2312" w:hAnsi="CESI仿宋-GB2312" w:eastAsia="CESI仿宋-GB2312" w:cs="CESI仿宋-GB2312"/>
          <w:color w:val="auto"/>
          <w:sz w:val="32"/>
          <w:szCs w:val="32"/>
          <w:u w:val="none"/>
          <w:lang w:eastAsia="zh-CN"/>
        </w:rPr>
        <w:t>应当</w:t>
      </w:r>
      <w:r>
        <w:rPr>
          <w:rFonts w:hint="eastAsia" w:ascii="CESI仿宋-GB2312" w:hAnsi="CESI仿宋-GB2312" w:eastAsia="CESI仿宋-GB2312" w:cs="CESI仿宋-GB2312"/>
          <w:color w:val="auto"/>
          <w:sz w:val="32"/>
          <w:szCs w:val="32"/>
          <w:u w:val="none"/>
        </w:rPr>
        <w:t>推进金融司法机制创新，会同相关单位设立金融司法协同平台，完善金融纠纷多元化解决机制，协同防控金融风险</w:t>
      </w:r>
      <w:r>
        <w:rPr>
          <w:rFonts w:hint="eastAsia" w:ascii="CESI仿宋-GB2312" w:hAnsi="CESI仿宋-GB2312" w:eastAsia="CESI仿宋-GB2312" w:cs="CESI仿宋-GB2312"/>
          <w:color w:val="auto"/>
          <w:sz w:val="32"/>
          <w:szCs w:val="32"/>
          <w:u w:val="none"/>
          <w:lang w:eastAsia="zh-CN"/>
        </w:rPr>
        <w:t>，</w:t>
      </w:r>
      <w:r>
        <w:rPr>
          <w:rFonts w:hint="eastAsia" w:ascii="CESI仿宋-GB2312" w:hAnsi="CESI仿宋-GB2312" w:eastAsia="CESI仿宋-GB2312" w:cs="CESI仿宋-GB2312"/>
          <w:color w:val="auto"/>
          <w:sz w:val="32"/>
          <w:szCs w:val="32"/>
          <w:u w:val="none"/>
        </w:rPr>
        <w:t>提升司法服务金融发展的水平。</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第二十一条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市人民政府及其有关部门</w:t>
      </w:r>
      <w:r>
        <w:rPr>
          <w:rFonts w:hint="eastAsia" w:ascii="CESI仿宋-GB2312" w:hAnsi="CESI仿宋-GB2312" w:eastAsia="CESI仿宋-GB2312" w:cs="CESI仿宋-GB2312"/>
          <w:color w:val="auto"/>
          <w:sz w:val="32"/>
          <w:szCs w:val="32"/>
          <w:u w:val="none"/>
        </w:rPr>
        <w:t>应当加强金融信用环境建设，按照规定将市场主体相关信用信息纳入市公共信用信息平台，为地方金融组织提供信用信息查询支持。</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color w:val="auto"/>
          <w:sz w:val="32"/>
          <w:szCs w:val="32"/>
          <w:u w:val="none"/>
        </w:rPr>
        <w:t>中国人民银行驻厦分支</w:t>
      </w:r>
      <w:r>
        <w:rPr>
          <w:rFonts w:hint="eastAsia" w:ascii="CESI仿宋-GB2312" w:hAnsi="CESI仿宋-GB2312" w:eastAsia="CESI仿宋-GB2312" w:cs="CESI仿宋-GB2312"/>
          <w:bCs/>
          <w:color w:val="auto"/>
          <w:sz w:val="32"/>
          <w:szCs w:val="32"/>
          <w:u w:val="none"/>
        </w:rPr>
        <w:t>机构</w:t>
      </w:r>
      <w:r>
        <w:rPr>
          <w:rFonts w:hint="eastAsia" w:ascii="CESI仿宋-GB2312" w:hAnsi="CESI仿宋-GB2312" w:eastAsia="CESI仿宋-GB2312" w:cs="CESI仿宋-GB2312"/>
          <w:color w:val="auto"/>
          <w:sz w:val="32"/>
          <w:szCs w:val="32"/>
          <w:u w:val="none"/>
        </w:rPr>
        <w:t>、市地方金融监督管理部门加强对地方金融组织的辅导，支持符合条件的地方金融组织稳妥有序对接中国人民银行征信系统</w:t>
      </w:r>
      <w:r>
        <w:rPr>
          <w:rFonts w:hint="eastAsia" w:ascii="CESI仿宋-GB2312" w:hAnsi="CESI仿宋-GB2312" w:eastAsia="CESI仿宋-GB2312" w:cs="CESI仿宋-GB2312"/>
          <w:bCs/>
          <w:color w:val="auto"/>
          <w:sz w:val="32"/>
          <w:szCs w:val="32"/>
          <w:u w:val="none"/>
        </w:rPr>
        <w:t>。</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鼓励两岸征信机构开展合作，为地方金融组织提供征信产品和征信服务。</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bdr w:val="single" w:color="auto" w:sz="4" w:space="0"/>
          <w:shd w:val="pct10" w:color="auto" w:fill="FFFFFF"/>
        </w:rPr>
      </w:pPr>
      <w:r>
        <w:rPr>
          <w:rFonts w:hint="eastAsia" w:ascii="黑体" w:hAnsi="黑体" w:eastAsia="黑体" w:cs="黑体"/>
          <w:b w:val="0"/>
          <w:bCs w:val="0"/>
          <w:color w:val="auto"/>
          <w:sz w:val="32"/>
          <w:szCs w:val="32"/>
          <w:u w:val="none"/>
        </w:rPr>
        <w:t xml:space="preserve">第二十二条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鼓励地方金融组织依法成立行业协会，发挥服务、协调和行业自律作用，开展行业发展研究、诚信体系建设、行业标准化建设、职业技能培训、会员权益保护和纠纷调解等工作，引导地方金融组织合法经营、公平竞争。</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kern w:val="36"/>
          <w:sz w:val="32"/>
          <w:szCs w:val="32"/>
          <w:u w:val="none"/>
        </w:rPr>
      </w:pPr>
      <w:r>
        <w:rPr>
          <w:rFonts w:hint="eastAsia" w:ascii="CESI仿宋-GB2312" w:hAnsi="CESI仿宋-GB2312" w:eastAsia="CESI仿宋-GB2312" w:cs="CESI仿宋-GB2312"/>
          <w:color w:val="auto"/>
          <w:sz w:val="32"/>
          <w:szCs w:val="32"/>
          <w:u w:val="none"/>
        </w:rPr>
        <w:t>支持地方金融组织行业协会运用金融科技手段为地方金融组织提供行业通用信息系统、风险防范机制等服务。</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rPr>
      </w:pPr>
      <w:r>
        <w:rPr>
          <w:rFonts w:hint="eastAsia" w:ascii="Times New Roman" w:hAnsi="Times New Roman" w:eastAsia="黑体" w:cs="黑体"/>
        </w:rPr>
        <w:t>第三章  业务规范</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第二十三条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地方金融组织开展业务活动，应当诚实守信、审慎经营，加强个人金融信息保护，不得损害国家利益、公共利益和他人合法权益。</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法律、行政法规以及国家金融管理机构对地方金融组织业务规范另有规定的，从其规定。</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第二十四条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设立地方金融组织，按照国家有关规定办理许可等手续，依法登记成立。禁止非法从事地方金融组织的业务活动。</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设立地方金融组织，应当具有符合规定的注册资本、股东，符合任职条件的董事、监事、高级管理人员和合格的从业人员，有效的组织治理、内部控制、合规管理和风险管理体系以及与业务经营相适应的营业场所、安全措施和其他设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第二十五条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地方金融组织应当按照审慎经营的要求，建立并严格遵守风险管理、内部控制、资产质量、风险准备、关联交易、资产流动性等业务规则和管理制度，增强风险防控能力。</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
          <w:color w:val="auto"/>
          <w:sz w:val="32"/>
          <w:szCs w:val="32"/>
          <w:u w:val="none"/>
        </w:rPr>
      </w:pPr>
      <w:r>
        <w:rPr>
          <w:rFonts w:hint="eastAsia" w:ascii="CESI仿宋-GB2312" w:hAnsi="CESI仿宋-GB2312" w:eastAsia="CESI仿宋-GB2312" w:cs="CESI仿宋-GB2312"/>
          <w:color w:val="auto"/>
          <w:sz w:val="32"/>
          <w:szCs w:val="32"/>
          <w:u w:val="none"/>
        </w:rPr>
        <w:t>地方金融组织应当建立健全反洗钱内控制度，履行法定反洗钱义务。</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bookmarkStart w:id="0" w:name="tiao_16_kuan_1_xiang_3"/>
      <w:bookmarkEnd w:id="0"/>
      <w:bookmarkStart w:id="1" w:name="tiao16_kuan1_xiang6"/>
      <w:bookmarkEnd w:id="1"/>
      <w:bookmarkStart w:id="2" w:name="tiao_16_kuan_1_xiang_1"/>
      <w:bookmarkEnd w:id="2"/>
      <w:bookmarkStart w:id="3" w:name="tiao_16_kuan_1_xiang_4"/>
      <w:bookmarkEnd w:id="3"/>
      <w:bookmarkStart w:id="4" w:name="tiao16_kuan1_xiang2"/>
      <w:bookmarkEnd w:id="4"/>
      <w:bookmarkStart w:id="5" w:name="tiao_16_kuan_1_xiang_2"/>
      <w:bookmarkEnd w:id="5"/>
      <w:bookmarkStart w:id="6" w:name="tiao16_kuan1_xiang3"/>
      <w:bookmarkEnd w:id="6"/>
      <w:bookmarkStart w:id="7" w:name="tiao16_kuan1_xiang4"/>
      <w:bookmarkEnd w:id="7"/>
      <w:bookmarkStart w:id="8" w:name="tiao_16_kuan_1_xiang_5"/>
      <w:bookmarkEnd w:id="8"/>
      <w:bookmarkStart w:id="9" w:name="tiao16_kuan1_xiang5"/>
      <w:bookmarkEnd w:id="9"/>
      <w:bookmarkStart w:id="10" w:name="tiao_16_kuan_1_xiang_6"/>
      <w:bookmarkEnd w:id="10"/>
      <w:bookmarkStart w:id="11" w:name="tiao16_kuan1_xiang1"/>
      <w:bookmarkEnd w:id="11"/>
      <w:r>
        <w:rPr>
          <w:rFonts w:hint="eastAsia" w:ascii="黑体" w:hAnsi="黑体" w:eastAsia="黑体" w:cs="黑体"/>
          <w:b w:val="0"/>
          <w:bCs w:val="0"/>
          <w:color w:val="auto"/>
          <w:sz w:val="32"/>
          <w:szCs w:val="32"/>
          <w:u w:val="none"/>
        </w:rPr>
        <w:t>第二十六条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地方金融组织不得违反国家有关规定为关联方提供与本组织利益相冲突的交易，不得通过关联交易为关联方牟取不正当利益。</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第二十七条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地方金融组织应当建立健全金融消费者和金融投资者适当性管理制度，将合适的金融产品或者服务提供给适当的金融消费者和金融投资者。</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地方金融组织应当采取有效措施加强对金融消费者和金融投资者个人金融信息的保护，依法收集、保存和使用个人金融信息，防止信息泄露和滥用，确保信息安全。</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地方金融组织应当建立健全金融消费者和金融投资者的投诉处理机制，妥善处理与金融消费者和金融投资者的争议。</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第二十八条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地方金融组织在提供金融产品或者服务时，应当以显著方式和通俗易懂的语言文字向金融消费者和金融投资者披露产品结构、投资周期、资金用途、交易规则、适当性要求、潜在风险等可能影响其决策的信息。</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bCs/>
          <w:color w:val="auto"/>
          <w:sz w:val="32"/>
          <w:szCs w:val="32"/>
          <w:u w:val="none"/>
        </w:rPr>
        <w:t>地方金融组织披露信息应当真实、准确、完整</w:t>
      </w:r>
      <w:r>
        <w:rPr>
          <w:rFonts w:hint="eastAsia" w:ascii="CESI仿宋-GB2312" w:hAnsi="CESI仿宋-GB2312" w:eastAsia="CESI仿宋-GB2312" w:cs="CESI仿宋-GB2312"/>
          <w:bCs/>
          <w:color w:val="auto"/>
          <w:sz w:val="32"/>
          <w:szCs w:val="32"/>
          <w:u w:val="none"/>
          <w:lang w:eastAsia="zh-CN"/>
        </w:rPr>
        <w:t>、及时</w:t>
      </w:r>
      <w:r>
        <w:rPr>
          <w:rFonts w:hint="eastAsia" w:ascii="CESI仿宋-GB2312" w:hAnsi="CESI仿宋-GB2312" w:eastAsia="CESI仿宋-GB2312" w:cs="CESI仿宋-GB2312"/>
          <w:bCs/>
          <w:color w:val="auto"/>
          <w:sz w:val="32"/>
          <w:szCs w:val="32"/>
          <w:u w:val="none"/>
        </w:rPr>
        <w:t>，不得有虚假记载、误导性陈述或者重大遗漏。</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第二十九条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地方金融组织应当接入地方金融非现场监督管理信息系统报送业务经营数据和资料，并向市地方金融监督管理部门报送年度经营报告、审计报告，所报送数据和资料应当真实、准确、完整。</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lang w:eastAsia="zh-CN"/>
        </w:rPr>
      </w:pPr>
      <w:r>
        <w:rPr>
          <w:rFonts w:hint="eastAsia" w:ascii="黑体" w:hAnsi="黑体" w:eastAsia="黑体" w:cs="黑体"/>
          <w:b w:val="0"/>
          <w:bCs w:val="0"/>
          <w:color w:val="auto"/>
          <w:sz w:val="32"/>
          <w:szCs w:val="32"/>
          <w:u w:val="none"/>
        </w:rPr>
        <w:t xml:space="preserve">第三十条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地方金融组织不得承诺或者变相承诺投资保本、高收益或者无风险</w:t>
      </w:r>
      <w:r>
        <w:rPr>
          <w:rFonts w:hint="eastAsia" w:ascii="CESI仿宋-GB2312" w:hAnsi="CESI仿宋-GB2312" w:eastAsia="CESI仿宋-GB2312" w:cs="CESI仿宋-GB2312"/>
          <w:color w:val="auto"/>
          <w:sz w:val="32"/>
          <w:szCs w:val="32"/>
          <w:u w:val="none"/>
          <w:lang w:eastAsia="zh-CN"/>
        </w:rPr>
        <w:t>，</w:t>
      </w:r>
      <w:r>
        <w:rPr>
          <w:rFonts w:hint="eastAsia" w:ascii="CESI仿宋-GB2312" w:hAnsi="CESI仿宋-GB2312" w:eastAsia="CESI仿宋-GB2312" w:cs="CESI仿宋-GB2312"/>
          <w:color w:val="auto"/>
          <w:sz w:val="32"/>
          <w:szCs w:val="32"/>
          <w:u w:val="none"/>
        </w:rPr>
        <w:t>不得超越</w:t>
      </w:r>
      <w:r>
        <w:rPr>
          <w:rFonts w:hint="eastAsia" w:ascii="CESI仿宋-GB2312" w:hAnsi="CESI仿宋-GB2312" w:eastAsia="CESI仿宋-GB2312" w:cs="CESI仿宋-GB2312"/>
          <w:color w:val="auto"/>
          <w:sz w:val="32"/>
          <w:szCs w:val="32"/>
          <w:u w:val="none"/>
          <w:lang w:eastAsia="zh-CN"/>
        </w:rPr>
        <w:t>核准的</w:t>
      </w:r>
      <w:r>
        <w:rPr>
          <w:rFonts w:hint="eastAsia" w:ascii="CESI仿宋-GB2312" w:hAnsi="CESI仿宋-GB2312" w:eastAsia="CESI仿宋-GB2312" w:cs="CESI仿宋-GB2312"/>
          <w:color w:val="auto"/>
          <w:sz w:val="32"/>
          <w:szCs w:val="32"/>
          <w:u w:val="none"/>
        </w:rPr>
        <w:t>业务范围开展金融营销宣传。</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广告发布者发布金融类广告，应当对可能存在的风险以及风险责任承担进行合理提示或者警示，应当依法查验广告主的业务</w:t>
      </w:r>
      <w:r>
        <w:rPr>
          <w:rFonts w:hint="eastAsia" w:ascii="CESI仿宋-GB2312" w:hAnsi="CESI仿宋-GB2312" w:eastAsia="CESI仿宋-GB2312" w:cs="CESI仿宋-GB2312"/>
          <w:color w:val="auto"/>
          <w:sz w:val="32"/>
          <w:szCs w:val="32"/>
          <w:u w:val="none"/>
          <w:lang w:eastAsia="zh-CN"/>
        </w:rPr>
        <w:t>范围</w:t>
      </w:r>
      <w:r>
        <w:rPr>
          <w:rFonts w:hint="eastAsia" w:ascii="CESI仿宋-GB2312" w:hAnsi="CESI仿宋-GB2312" w:eastAsia="CESI仿宋-GB2312" w:cs="CESI仿宋-GB2312"/>
          <w:color w:val="auto"/>
          <w:sz w:val="32"/>
          <w:szCs w:val="32"/>
          <w:u w:val="none"/>
        </w:rPr>
        <w:t>并核对广告内容，不得发布涉嫌非法集资、金融诈骗以及其他不符合法律规定的金融广告。</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第三十一条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地方金融组织不得从事下列行为：</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bookmarkStart w:id="12" w:name="_Hlk5376029"/>
      <w:r>
        <w:rPr>
          <w:rFonts w:hint="eastAsia" w:ascii="CESI仿宋-GB2312" w:hAnsi="CESI仿宋-GB2312" w:eastAsia="CESI仿宋-GB2312" w:cs="CESI仿宋-GB2312"/>
          <w:color w:val="auto"/>
          <w:sz w:val="32"/>
          <w:szCs w:val="32"/>
          <w:u w:val="none"/>
        </w:rPr>
        <w:t xml:space="preserve">（一）伪造、变造、转让、出租、出借经营许可证或者批准文件； </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（二）超出</w:t>
      </w:r>
      <w:r>
        <w:rPr>
          <w:rFonts w:hint="eastAsia" w:ascii="CESI仿宋-GB2312" w:hAnsi="CESI仿宋-GB2312" w:eastAsia="CESI仿宋-GB2312" w:cs="CESI仿宋-GB2312"/>
          <w:color w:val="auto"/>
          <w:sz w:val="32"/>
          <w:szCs w:val="32"/>
          <w:u w:val="none"/>
          <w:lang w:eastAsia="zh-CN"/>
        </w:rPr>
        <w:t>核准</w:t>
      </w:r>
      <w:r>
        <w:rPr>
          <w:rFonts w:hint="eastAsia" w:ascii="CESI仿宋-GB2312" w:hAnsi="CESI仿宋-GB2312" w:eastAsia="CESI仿宋-GB2312" w:cs="CESI仿宋-GB2312"/>
          <w:color w:val="auto"/>
          <w:sz w:val="32"/>
          <w:szCs w:val="32"/>
          <w:u w:val="none"/>
        </w:rPr>
        <w:t>的业务范围开展金融业务；</w:t>
      </w:r>
    </w:p>
    <w:p>
      <w:pPr>
        <w:pStyle w:val="23"/>
        <w:keepNext w:val="0"/>
        <w:keepLines w:val="0"/>
        <w:pageBreakBefore w:val="0"/>
        <w:widowControl w:val="0"/>
        <w:kinsoku/>
        <w:wordWrap/>
        <w:overflowPunct/>
        <w:topLinePunct w:val="0"/>
        <w:bidi w:val="0"/>
        <w:spacing w:before="0" w:beforeAutospacing="0" w:after="0" w:afterAutospacing="0" w:line="570" w:lineRule="exact"/>
        <w:ind w:firstLine="592" w:firstLineChars="200"/>
        <w:jc w:val="both"/>
        <w:textAlignment w:val="auto"/>
        <w:rPr>
          <w:rFonts w:hint="eastAsia" w:ascii="CESI仿宋-GB2312" w:hAnsi="CESI仿宋-GB2312" w:eastAsia="CESI仿宋-GB2312" w:cs="CESI仿宋-GB2312"/>
          <w:color w:val="auto"/>
          <w:sz w:val="32"/>
          <w:szCs w:val="32"/>
          <w:u w:val="none"/>
          <w:bdr w:val="single" w:color="auto" w:sz="4" w:space="0"/>
          <w:shd w:val="pct10" w:color="auto" w:fill="FFFFFF"/>
        </w:rPr>
      </w:pPr>
      <w:r>
        <w:rPr>
          <w:rFonts w:hint="eastAsia" w:ascii="CESI仿宋-GB2312" w:hAnsi="CESI仿宋-GB2312" w:eastAsia="CESI仿宋-GB2312" w:cs="CESI仿宋-GB2312"/>
          <w:color w:val="auto"/>
          <w:spacing w:val="-4"/>
          <w:sz w:val="32"/>
          <w:szCs w:val="32"/>
          <w:u w:val="none"/>
        </w:rPr>
        <w:t>（三）吸收存款、变相吸收存款；</w:t>
      </w:r>
      <w:bookmarkEnd w:id="12"/>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（四）以暴力、威胁或者其他非法手段进行债务催收；</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（五）法律、法规以及国家金融管理机构规定禁止的其他行为。</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未经国家金融管理机构批准，区域性股权市场</w:t>
      </w:r>
      <w:r>
        <w:rPr>
          <w:rFonts w:hint="eastAsia" w:ascii="CESI仿宋-GB2312" w:hAnsi="CESI仿宋-GB2312" w:eastAsia="CESI仿宋-GB2312" w:cs="CESI仿宋-GB2312"/>
          <w:bCs/>
          <w:color w:val="auto"/>
          <w:sz w:val="32"/>
          <w:szCs w:val="32"/>
          <w:u w:val="none"/>
        </w:rPr>
        <w:t>、</w:t>
      </w:r>
      <w:r>
        <w:rPr>
          <w:rFonts w:hint="eastAsia" w:ascii="CESI仿宋-GB2312" w:hAnsi="CESI仿宋-GB2312" w:eastAsia="CESI仿宋-GB2312" w:cs="CESI仿宋-GB2312"/>
          <w:color w:val="auto"/>
          <w:sz w:val="32"/>
          <w:szCs w:val="32"/>
          <w:u w:val="none"/>
        </w:rPr>
        <w:t>地方各类交易场所不得采取集合竞价、连续竞价、做市商等集中交易方式进行交易，不得从事保险、信贷、黄金、外汇等金融产品交易。</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lang w:eastAsia="zh-CN"/>
        </w:rPr>
      </w:pPr>
      <w:r>
        <w:rPr>
          <w:rFonts w:hint="eastAsia" w:ascii="CESI仿宋-GB2312" w:hAnsi="CESI仿宋-GB2312" w:eastAsia="CESI仿宋-GB2312" w:cs="CESI仿宋-GB2312"/>
          <w:color w:val="auto"/>
          <w:sz w:val="32"/>
          <w:szCs w:val="32"/>
          <w:u w:val="none"/>
        </w:rPr>
        <w:t>地方资产管理公司不得收购无实际对应资产和无真实交易背景的债权资产，不得设置显性或者隐性的回购条款，不得帮助金融机构虚假出表掩盖不良资产，不得以收购不良资产名义为企业或者项目提供融资。</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第三十二条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地方金融组织终止的，应当依法进行清算，并对相关业务承接以及债务清偿作出明确安排。清算过程应当接受市地方金融监督管理部门的监督。</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lang w:eastAsia="zh-CN"/>
        </w:rPr>
        <w:t>按照国家有关规定办理</w:t>
      </w:r>
      <w:r>
        <w:rPr>
          <w:rFonts w:hint="eastAsia" w:ascii="CESI仿宋-GB2312" w:hAnsi="CESI仿宋-GB2312" w:eastAsia="CESI仿宋-GB2312" w:cs="CESI仿宋-GB2312"/>
          <w:color w:val="auto"/>
          <w:sz w:val="32"/>
          <w:szCs w:val="32"/>
          <w:u w:val="none"/>
        </w:rPr>
        <w:t>许可</w:t>
      </w:r>
      <w:r>
        <w:rPr>
          <w:rFonts w:hint="eastAsia" w:ascii="CESI仿宋-GB2312" w:hAnsi="CESI仿宋-GB2312" w:eastAsia="CESI仿宋-GB2312" w:cs="CESI仿宋-GB2312"/>
          <w:color w:val="auto"/>
          <w:sz w:val="32"/>
          <w:szCs w:val="32"/>
          <w:u w:val="none"/>
          <w:lang w:eastAsia="zh-CN"/>
        </w:rPr>
        <w:t>等手续</w:t>
      </w:r>
      <w:r>
        <w:rPr>
          <w:rFonts w:hint="eastAsia" w:ascii="CESI仿宋-GB2312" w:hAnsi="CESI仿宋-GB2312" w:eastAsia="CESI仿宋-GB2312" w:cs="CESI仿宋-GB2312"/>
          <w:color w:val="auto"/>
          <w:sz w:val="32"/>
          <w:szCs w:val="32"/>
          <w:u w:val="none"/>
        </w:rPr>
        <w:t>设立的地方金融组织解散或者依法宣告破产的，应当将经营许可证或者批准</w:t>
      </w:r>
      <w:r>
        <w:rPr>
          <w:rFonts w:hint="eastAsia" w:ascii="CESI仿宋-GB2312" w:hAnsi="CESI仿宋-GB2312" w:eastAsia="CESI仿宋-GB2312" w:cs="CESI仿宋-GB2312"/>
          <w:color w:val="auto"/>
          <w:sz w:val="32"/>
          <w:szCs w:val="32"/>
          <w:u w:val="none"/>
          <w:lang w:eastAsia="zh-CN"/>
        </w:rPr>
        <w:t>文</w:t>
      </w:r>
      <w:r>
        <w:rPr>
          <w:rFonts w:hint="eastAsia" w:ascii="CESI仿宋-GB2312" w:hAnsi="CESI仿宋-GB2312" w:eastAsia="CESI仿宋-GB2312" w:cs="CESI仿宋-GB2312"/>
          <w:color w:val="auto"/>
          <w:sz w:val="32"/>
          <w:szCs w:val="32"/>
          <w:u w:val="none"/>
        </w:rPr>
        <w:t>件交由市地方金融监督管理部门注销，并由市地方金融监督管理部门公告注销信息。</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第三十三条  </w:t>
      </w:r>
      <w:r>
        <w:rPr>
          <w:rFonts w:hint="eastAsia" w:ascii="CESI仿宋-GB2312" w:hAnsi="CESI仿宋-GB2312" w:eastAsia="CESI仿宋-GB2312" w:cs="CESI仿宋-GB2312"/>
          <w:color w:val="auto"/>
          <w:sz w:val="32"/>
          <w:szCs w:val="32"/>
          <w:u w:val="none"/>
        </w:rPr>
        <w:t>金融消费者和金融投资者应当增强金融风险意识，审慎决策，理性消费和投资，并承担相应风险。</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rPr>
      </w:pPr>
      <w:r>
        <w:rPr>
          <w:rFonts w:hint="eastAsia" w:ascii="Times New Roman" w:hAnsi="Times New Roman" w:eastAsia="黑体" w:cs="黑体"/>
        </w:rPr>
        <w:t>第四章  监督管理</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第三十四条  </w:t>
      </w:r>
      <w:r>
        <w:rPr>
          <w:rFonts w:hint="eastAsia" w:ascii="CESI仿宋-GB2312" w:hAnsi="CESI仿宋-GB2312" w:eastAsia="CESI仿宋-GB2312" w:cs="CESI仿宋-GB2312"/>
          <w:color w:val="auto"/>
          <w:sz w:val="32"/>
          <w:szCs w:val="32"/>
          <w:u w:val="none"/>
        </w:rPr>
        <w:t>市地方金融监督管理部门应当建立地方金融组织分类监管制度，根据经营范围、经营规模、内部管理水平、风险状况等，在市场准入、非现场监管、现场检查和创新试点等方面对地方金融组织采取差异化的监督管理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第三十五条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市地方金融监督管理部门应当建立地方金融组织信息公示制度，公布并及时更新地方金融组织名单以及相关许可等信息。</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第三十六条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市地方金融监督管理部门应当运用大数据等现代信息技术手段建立并完善地方金融非现场监督管理信息系统，做好地方金融组织业务活动和风险状况的实时监测、统计分析、风险预警、评估处置和信息发布等工作。</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CESI仿宋-GB2312" w:hAnsi="CESI仿宋-GB2312" w:eastAsia="CESI仿宋-GB2312" w:cs="CESI仿宋-GB2312"/>
          <w:bCs/>
          <w:color w:val="auto"/>
          <w:sz w:val="32"/>
          <w:szCs w:val="32"/>
          <w:u w:val="none"/>
        </w:rPr>
        <w:t>市地方金融监督管理部门与相关部门应当加强日常监督管理信息数据的交换、整合和共享。市场监督管理部门应当将涉及金融业务的市场主体注册登记情况，与市地方金融监督管理部门信息共享。</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第三十七条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市地方金融监督管理部门</w:t>
      </w:r>
      <w:r>
        <w:rPr>
          <w:rFonts w:hint="eastAsia" w:ascii="CESI仿宋-GB2312" w:hAnsi="CESI仿宋-GB2312" w:eastAsia="CESI仿宋-GB2312" w:cs="CESI仿宋-GB2312"/>
          <w:color w:val="auto"/>
          <w:sz w:val="32"/>
          <w:szCs w:val="32"/>
          <w:u w:val="none"/>
          <w:lang w:eastAsia="zh-CN"/>
        </w:rPr>
        <w:t>根据审慎监管的要求，可以采取下列措施</w:t>
      </w:r>
      <w:r>
        <w:rPr>
          <w:rFonts w:hint="eastAsia" w:ascii="CESI仿宋-GB2312" w:hAnsi="CESI仿宋-GB2312" w:eastAsia="CESI仿宋-GB2312" w:cs="CESI仿宋-GB2312"/>
          <w:color w:val="auto"/>
          <w:sz w:val="32"/>
          <w:szCs w:val="32"/>
          <w:u w:val="none"/>
        </w:rPr>
        <w:t xml:space="preserve">对地方金融组织实施现场检查: </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（一）进入地方金融组织进行检查；</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（二）询问地方金融组织的工作人员，要求其对有关检查事项作出说明；</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（三）检查地方金融组织的计算机信息管理系统；</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（四）查阅、复制与检查事项有关的文件、资料，对可能被转移、隐匿或者毁损的文件、资料、电子设备等予以先行登记保存；</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（五）其他依法可以采取的措施。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地方金融组织及其工作人员应当配合市地方金融监督管理部门进行检查，不得拒绝、拖延、阻碍。</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lang w:eastAsia="zh-CN"/>
        </w:rPr>
      </w:pPr>
      <w:r>
        <w:rPr>
          <w:rFonts w:hint="eastAsia" w:ascii="CESI仿宋-GB2312" w:hAnsi="CESI仿宋-GB2312" w:eastAsia="CESI仿宋-GB2312" w:cs="CESI仿宋-GB2312"/>
          <w:color w:val="auto"/>
          <w:sz w:val="32"/>
          <w:szCs w:val="32"/>
          <w:u w:val="none"/>
        </w:rPr>
        <w:t>开展现场检查</w:t>
      </w:r>
      <w:r>
        <w:rPr>
          <w:rFonts w:hint="eastAsia" w:ascii="CESI仿宋-GB2312" w:hAnsi="CESI仿宋-GB2312" w:eastAsia="CESI仿宋-GB2312" w:cs="CESI仿宋-GB2312"/>
          <w:color w:val="auto"/>
          <w:sz w:val="32"/>
          <w:szCs w:val="32"/>
          <w:u w:val="none"/>
          <w:lang w:eastAsia="zh-CN"/>
        </w:rPr>
        <w:t>应当经市地方金融监督管理部门负责人批准。现场检查时，</w:t>
      </w:r>
      <w:r>
        <w:rPr>
          <w:rFonts w:hint="eastAsia" w:ascii="CESI仿宋-GB2312" w:hAnsi="CESI仿宋-GB2312" w:eastAsia="CESI仿宋-GB2312" w:cs="CESI仿宋-GB2312"/>
          <w:color w:val="auto"/>
          <w:sz w:val="32"/>
          <w:szCs w:val="32"/>
          <w:u w:val="none"/>
        </w:rPr>
        <w:t>检查人员不得少于二人，</w:t>
      </w:r>
      <w:r>
        <w:rPr>
          <w:rFonts w:hint="eastAsia" w:ascii="CESI仿宋-GB2312" w:hAnsi="CESI仿宋-GB2312" w:eastAsia="CESI仿宋-GB2312" w:cs="CESI仿宋-GB2312"/>
          <w:color w:val="auto"/>
          <w:sz w:val="32"/>
          <w:szCs w:val="32"/>
          <w:u w:val="none"/>
          <w:lang w:eastAsia="zh-CN"/>
        </w:rPr>
        <w:t>并</w:t>
      </w:r>
      <w:r>
        <w:rPr>
          <w:rFonts w:hint="eastAsia" w:ascii="CESI仿宋-GB2312" w:hAnsi="CESI仿宋-GB2312" w:eastAsia="CESI仿宋-GB2312" w:cs="CESI仿宋-GB2312"/>
          <w:color w:val="auto"/>
          <w:sz w:val="32"/>
          <w:szCs w:val="32"/>
          <w:u w:val="none"/>
        </w:rPr>
        <w:t>应当出示合法证件和检查通知书。</w:t>
      </w:r>
      <w:r>
        <w:rPr>
          <w:rFonts w:hint="eastAsia" w:ascii="CESI仿宋-GB2312" w:hAnsi="CESI仿宋-GB2312" w:eastAsia="CESI仿宋-GB2312" w:cs="CESI仿宋-GB2312"/>
          <w:color w:val="auto"/>
          <w:sz w:val="32"/>
          <w:szCs w:val="32"/>
          <w:u w:val="none"/>
          <w:lang w:eastAsia="zh-CN"/>
        </w:rPr>
        <w:t>检查人员少于二人或者未出示合法证件和检查通知书的，地方金融组织有权拒绝检查。</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第三十八条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市地方金融监督管理部门</w:t>
      </w:r>
      <w:r>
        <w:rPr>
          <w:rFonts w:hint="eastAsia" w:ascii="CESI仿宋-GB2312" w:hAnsi="CESI仿宋-GB2312" w:eastAsia="CESI仿宋-GB2312" w:cs="CESI仿宋-GB2312"/>
          <w:color w:val="auto"/>
          <w:sz w:val="32"/>
          <w:szCs w:val="32"/>
          <w:u w:val="none"/>
          <w:lang w:eastAsia="zh-CN"/>
        </w:rPr>
        <w:t>在</w:t>
      </w:r>
      <w:r>
        <w:rPr>
          <w:rFonts w:hint="eastAsia" w:ascii="CESI仿宋-GB2312" w:hAnsi="CESI仿宋-GB2312" w:eastAsia="CESI仿宋-GB2312" w:cs="CESI仿宋-GB2312"/>
          <w:color w:val="auto"/>
          <w:sz w:val="32"/>
          <w:szCs w:val="32"/>
          <w:u w:val="none"/>
        </w:rPr>
        <w:t>履行职责的</w:t>
      </w:r>
      <w:r>
        <w:rPr>
          <w:rFonts w:hint="eastAsia" w:ascii="CESI仿宋-GB2312" w:hAnsi="CESI仿宋-GB2312" w:eastAsia="CESI仿宋-GB2312" w:cs="CESI仿宋-GB2312"/>
          <w:color w:val="auto"/>
          <w:sz w:val="32"/>
          <w:szCs w:val="32"/>
          <w:u w:val="none"/>
          <w:lang w:eastAsia="zh-CN"/>
        </w:rPr>
        <w:t>过程中，发现地方金融组织有涉嫌违反监管要求的行为或者存在其他风险隐患的，</w:t>
      </w:r>
      <w:r>
        <w:rPr>
          <w:rFonts w:hint="eastAsia" w:ascii="CESI仿宋-GB2312" w:hAnsi="CESI仿宋-GB2312" w:eastAsia="CESI仿宋-GB2312" w:cs="CESI仿宋-GB2312"/>
          <w:color w:val="auto"/>
          <w:sz w:val="32"/>
          <w:szCs w:val="32"/>
          <w:u w:val="none"/>
        </w:rPr>
        <w:t>可以与地方金融组织的实际控制人、主要股东、董事、监事、高级管理人员以及其他有关工作人员进行监督管理谈话</w:t>
      </w:r>
      <w:r>
        <w:rPr>
          <w:rFonts w:hint="eastAsia" w:ascii="CESI仿宋-GB2312" w:hAnsi="CESI仿宋-GB2312" w:eastAsia="CESI仿宋-GB2312" w:cs="CESI仿宋-GB2312"/>
          <w:color w:val="auto"/>
          <w:sz w:val="32"/>
          <w:szCs w:val="32"/>
          <w:u w:val="none"/>
          <w:lang w:eastAsia="zh-CN"/>
        </w:rPr>
        <w:t>，</w:t>
      </w:r>
      <w:r>
        <w:rPr>
          <w:rFonts w:hint="eastAsia" w:ascii="CESI仿宋-GB2312" w:hAnsi="CESI仿宋-GB2312" w:eastAsia="CESI仿宋-GB2312" w:cs="CESI仿宋-GB2312"/>
          <w:color w:val="auto"/>
          <w:sz w:val="32"/>
          <w:szCs w:val="32"/>
          <w:u w:val="none"/>
        </w:rPr>
        <w:t>要求其就地方金融组织业务活动和风险管理的重要事项作出说明。</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第三十九条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市、区</w:t>
      </w:r>
      <w:r>
        <w:rPr>
          <w:rFonts w:hint="eastAsia" w:ascii="CESI仿宋-GB2312" w:hAnsi="CESI仿宋-GB2312" w:eastAsia="CESI仿宋-GB2312" w:cs="CESI仿宋-GB2312"/>
          <w:bCs/>
          <w:color w:val="auto"/>
          <w:sz w:val="32"/>
          <w:szCs w:val="32"/>
          <w:u w:val="none"/>
        </w:rPr>
        <w:t>人民政府应当建立健全地方金融风险监测预警机制。有关部门通过日常监督管理、技术监测、网格巡查、专项排查、核实群众举报等方式，及时发现各类金融风险，并按照职责报送同级人民政府或者市地方金融监督管理部门。</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
          <w:bCs/>
          <w:color w:val="auto"/>
          <w:sz w:val="32"/>
          <w:szCs w:val="32"/>
          <w:u w:val="none"/>
        </w:rPr>
      </w:pPr>
      <w:r>
        <w:rPr>
          <w:rFonts w:hint="eastAsia" w:ascii="黑体" w:hAnsi="黑体" w:eastAsia="黑体" w:cs="黑体"/>
          <w:b w:val="0"/>
          <w:bCs w:val="0"/>
          <w:color w:val="auto"/>
          <w:sz w:val="32"/>
          <w:szCs w:val="32"/>
          <w:u w:val="none"/>
        </w:rPr>
        <w:t xml:space="preserve">第四十条  </w:t>
      </w:r>
      <w:r>
        <w:rPr>
          <w:rFonts w:hint="eastAsia" w:ascii="CESI仿宋-GB2312" w:hAnsi="CESI仿宋-GB2312" w:eastAsia="CESI仿宋-GB2312" w:cs="CESI仿宋-GB2312"/>
          <w:color w:val="auto"/>
          <w:sz w:val="32"/>
          <w:szCs w:val="32"/>
          <w:u w:val="none"/>
        </w:rPr>
        <w:t>地方金融组织应当承担金融风险处置主体责任。发生流动性风险、重大违规担保、遭受大额欺诈、主要股东或者合伙人经营困难、主要负责人失联、金融消费者或者金融投资者集体投诉、重大涉诉等严重影响其经营和财务状况，或者影响区域金融安全和社会稳定的重大风险事件的，应当立即采取应急措施，并及时报告市地方金融监督管理部门及其注册地的区人民政府。</w:t>
      </w:r>
    </w:p>
    <w:p>
      <w:pPr>
        <w:pStyle w:val="24"/>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pacing w:val="-4"/>
          <w:sz w:val="32"/>
          <w:szCs w:val="32"/>
          <w:u w:val="none"/>
        </w:rPr>
      </w:pPr>
      <w:r>
        <w:rPr>
          <w:rFonts w:hint="eastAsia" w:ascii="黑体" w:hAnsi="黑体" w:eastAsia="黑体" w:cs="黑体"/>
          <w:b w:val="0"/>
          <w:bCs w:val="0"/>
          <w:color w:val="auto"/>
          <w:sz w:val="32"/>
          <w:szCs w:val="32"/>
          <w:u w:val="none"/>
          <w:lang w:val="en-US" w:eastAsia="zh-CN" w:bidi="ar-SA"/>
        </w:rPr>
        <w:t xml:space="preserve">第四十一条 </w:t>
      </w:r>
      <w:r>
        <w:rPr>
          <w:rFonts w:hint="eastAsia" w:ascii="CESI仿宋-GB2312" w:hAnsi="CESI仿宋-GB2312" w:eastAsia="CESI仿宋-GB2312" w:cs="CESI仿宋-GB2312"/>
          <w:b/>
          <w:bCs/>
          <w:color w:val="auto"/>
          <w:spacing w:val="-4"/>
          <w:sz w:val="32"/>
          <w:szCs w:val="32"/>
          <w:u w:val="none"/>
        </w:rPr>
        <w:t xml:space="preserve"> </w:t>
      </w:r>
      <w:r>
        <w:rPr>
          <w:rFonts w:hint="eastAsia" w:ascii="CESI仿宋-GB2312" w:hAnsi="CESI仿宋-GB2312" w:eastAsia="CESI仿宋-GB2312" w:cs="CESI仿宋-GB2312"/>
          <w:color w:val="auto"/>
          <w:spacing w:val="-4"/>
          <w:sz w:val="32"/>
          <w:szCs w:val="32"/>
          <w:u w:val="none"/>
        </w:rPr>
        <w:t>地方金融组织的经营活动可能引发重大风险的</w:t>
      </w:r>
      <w:r>
        <w:rPr>
          <w:rFonts w:hint="eastAsia" w:ascii="CESI仿宋-GB2312" w:hAnsi="CESI仿宋-GB2312" w:eastAsia="CESI仿宋-GB2312" w:cs="CESI仿宋-GB2312"/>
          <w:color w:val="auto"/>
          <w:spacing w:val="-4"/>
          <w:sz w:val="32"/>
          <w:szCs w:val="32"/>
          <w:u w:val="none"/>
          <w:lang w:eastAsia="zh-CN"/>
        </w:rPr>
        <w:t>，</w:t>
      </w:r>
      <w:r>
        <w:rPr>
          <w:rFonts w:hint="eastAsia" w:ascii="CESI仿宋-GB2312" w:hAnsi="CESI仿宋-GB2312" w:eastAsia="CESI仿宋-GB2312" w:cs="CESI仿宋-GB2312"/>
          <w:color w:val="auto"/>
          <w:spacing w:val="-4"/>
          <w:sz w:val="32"/>
          <w:szCs w:val="32"/>
          <w:u w:val="none"/>
        </w:rPr>
        <w:t>市地方金融监督管理部门可以</w:t>
      </w:r>
      <w:r>
        <w:rPr>
          <w:rFonts w:hint="eastAsia" w:ascii="CESI仿宋-GB2312" w:hAnsi="CESI仿宋-GB2312" w:eastAsia="CESI仿宋-GB2312" w:cs="CESI仿宋-GB2312"/>
          <w:color w:val="auto"/>
          <w:spacing w:val="-4"/>
          <w:sz w:val="32"/>
          <w:szCs w:val="32"/>
          <w:u w:val="none"/>
          <w:lang w:eastAsia="zh-CN"/>
        </w:rPr>
        <w:t>依法</w:t>
      </w:r>
      <w:r>
        <w:rPr>
          <w:rFonts w:hint="eastAsia" w:ascii="CESI仿宋-GB2312" w:hAnsi="CESI仿宋-GB2312" w:eastAsia="CESI仿宋-GB2312" w:cs="CESI仿宋-GB2312"/>
          <w:color w:val="auto"/>
          <w:spacing w:val="-4"/>
          <w:sz w:val="32"/>
          <w:szCs w:val="32"/>
          <w:u w:val="none"/>
        </w:rPr>
        <w:t>查封场所设施或者财物、扣押财物，以及依照有关规定采取控制风险扩大的其他措施。</w:t>
      </w:r>
    </w:p>
    <w:p>
      <w:pPr>
        <w:keepNext w:val="0"/>
        <w:keepLines w:val="0"/>
        <w:pageBreakBefore w:val="0"/>
        <w:widowControl w:val="0"/>
        <w:kinsoku/>
        <w:wordWrap/>
        <w:overflowPunct/>
        <w:topLinePunct w:val="0"/>
        <w:bidi w:val="0"/>
        <w:spacing w:line="570" w:lineRule="exact"/>
        <w:ind w:firstLine="608" w:firstLineChars="200"/>
        <w:jc w:val="both"/>
        <w:textAlignment w:val="auto"/>
        <w:rPr>
          <w:rFonts w:hint="eastAsia" w:ascii="CESI仿宋-GB2312" w:hAnsi="CESI仿宋-GB2312" w:eastAsia="CESI仿宋-GB2312" w:cs="CESI仿宋-GB2312"/>
          <w:color w:val="auto"/>
          <w:kern w:val="2"/>
          <w:u w:val="none"/>
        </w:rPr>
      </w:pPr>
      <w:r>
        <w:rPr>
          <w:rFonts w:hint="eastAsia" w:ascii="CESI仿宋-GB2312" w:hAnsi="CESI仿宋-GB2312" w:eastAsia="CESI仿宋-GB2312" w:cs="CESI仿宋-GB2312"/>
          <w:color w:val="auto"/>
          <w:kern w:val="2"/>
          <w:u w:val="none"/>
        </w:rPr>
        <w:t>地方金融组织应当及时采取措施</w:t>
      </w:r>
      <w:r>
        <w:rPr>
          <w:rFonts w:hint="eastAsia" w:ascii="CESI仿宋-GB2312" w:hAnsi="CESI仿宋-GB2312" w:eastAsia="CESI仿宋-GB2312" w:cs="CESI仿宋-GB2312"/>
          <w:color w:val="auto"/>
          <w:kern w:val="2"/>
          <w:u w:val="none"/>
          <w:lang w:eastAsia="zh-CN"/>
        </w:rPr>
        <w:t>，</w:t>
      </w:r>
      <w:r>
        <w:rPr>
          <w:rFonts w:hint="eastAsia" w:ascii="CESI仿宋-GB2312" w:hAnsi="CESI仿宋-GB2312" w:eastAsia="CESI仿宋-GB2312" w:cs="CESI仿宋-GB2312"/>
          <w:color w:val="auto"/>
          <w:kern w:val="2"/>
          <w:u w:val="none"/>
        </w:rPr>
        <w:t>消除重大风险隐患</w:t>
      </w:r>
      <w:r>
        <w:rPr>
          <w:rFonts w:hint="eastAsia" w:ascii="CESI仿宋-GB2312" w:hAnsi="CESI仿宋-GB2312" w:eastAsia="CESI仿宋-GB2312" w:cs="CESI仿宋-GB2312"/>
          <w:color w:val="auto"/>
          <w:kern w:val="2"/>
          <w:u w:val="none"/>
          <w:lang w:eastAsia="zh-CN"/>
        </w:rPr>
        <w:t>，</w:t>
      </w:r>
      <w:r>
        <w:rPr>
          <w:rFonts w:hint="eastAsia" w:ascii="CESI仿宋-GB2312" w:hAnsi="CESI仿宋-GB2312" w:eastAsia="CESI仿宋-GB2312" w:cs="CESI仿宋-GB2312"/>
          <w:color w:val="auto"/>
          <w:kern w:val="2"/>
          <w:u w:val="none"/>
        </w:rPr>
        <w:t>并向市地方金融监督管理部门报告有关情况。市地方金融监督管理部门确认重大风险隐患已经消除的</w:t>
      </w:r>
      <w:r>
        <w:rPr>
          <w:rFonts w:hint="eastAsia" w:ascii="CESI仿宋-GB2312" w:hAnsi="CESI仿宋-GB2312" w:eastAsia="CESI仿宋-GB2312" w:cs="CESI仿宋-GB2312"/>
          <w:color w:val="auto"/>
          <w:kern w:val="2"/>
          <w:u w:val="none"/>
          <w:lang w:eastAsia="zh-CN"/>
        </w:rPr>
        <w:t>，</w:t>
      </w:r>
      <w:r>
        <w:rPr>
          <w:rFonts w:hint="eastAsia" w:ascii="CESI仿宋-GB2312" w:hAnsi="CESI仿宋-GB2312" w:eastAsia="CESI仿宋-GB2312" w:cs="CESI仿宋-GB2312"/>
          <w:color w:val="auto"/>
          <w:kern w:val="2"/>
          <w:u w:val="none"/>
        </w:rPr>
        <w:t>应当自确认之日起三个工作日内解除前款规定的措施。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pacing w:val="-2"/>
          <w:sz w:val="32"/>
          <w:szCs w:val="32"/>
          <w:u w:val="none"/>
        </w:rPr>
      </w:pPr>
      <w:r>
        <w:rPr>
          <w:rFonts w:hint="eastAsia" w:ascii="黑体" w:hAnsi="黑体" w:eastAsia="黑体" w:cs="黑体"/>
          <w:b w:val="0"/>
          <w:bCs w:val="0"/>
          <w:color w:val="auto"/>
          <w:sz w:val="32"/>
          <w:szCs w:val="32"/>
          <w:u w:val="none"/>
        </w:rPr>
        <w:t xml:space="preserve">第四十二条 </w:t>
      </w:r>
      <w:r>
        <w:rPr>
          <w:rFonts w:hint="eastAsia" w:ascii="CESI仿宋-GB2312" w:hAnsi="CESI仿宋-GB2312" w:eastAsia="CESI仿宋-GB2312" w:cs="CESI仿宋-GB2312"/>
          <w:color w:val="auto"/>
          <w:spacing w:val="-2"/>
          <w:sz w:val="32"/>
          <w:szCs w:val="32"/>
          <w:u w:val="none"/>
        </w:rPr>
        <w:t xml:space="preserve"> 地方金融组织出现重大流动性风险，无法偿还到期债务的，市地方金融监督管理部门可以依法采取接管、协调同类地方金融组织接收存续业务、委托专业机构实施业务托管、指导其开展市场化重组等措施，并联合有关部门进行风险处置。</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第四十三条</w:t>
      </w:r>
      <w:r>
        <w:rPr>
          <w:rFonts w:hint="eastAsia" w:ascii="CESI仿宋-GB2312" w:hAnsi="CESI仿宋-GB2312" w:eastAsia="CESI仿宋-GB2312" w:cs="CESI仿宋-GB2312"/>
          <w:b/>
          <w:color w:val="auto"/>
          <w:sz w:val="32"/>
          <w:szCs w:val="32"/>
          <w:u w:val="none"/>
        </w:rPr>
        <w:t xml:space="preserve">  </w:t>
      </w:r>
      <w:r>
        <w:rPr>
          <w:rFonts w:hint="eastAsia" w:ascii="CESI仿宋-GB2312" w:hAnsi="CESI仿宋-GB2312" w:eastAsia="CESI仿宋-GB2312" w:cs="CESI仿宋-GB2312"/>
          <w:color w:val="auto"/>
          <w:kern w:val="2"/>
          <w:sz w:val="32"/>
          <w:szCs w:val="32"/>
          <w:u w:val="none"/>
        </w:rPr>
        <w:t>市地方金融监督管理部门</w:t>
      </w:r>
      <w:r>
        <w:rPr>
          <w:rFonts w:hint="eastAsia" w:ascii="CESI仿宋-GB2312" w:hAnsi="CESI仿宋-GB2312" w:eastAsia="CESI仿宋-GB2312" w:cs="CESI仿宋-GB2312"/>
          <w:color w:val="auto"/>
          <w:sz w:val="32"/>
          <w:szCs w:val="32"/>
          <w:u w:val="none"/>
        </w:rPr>
        <w:t>应当根据地方金融组织及其相关人员的风险和责任状况，建议有关机关或者部门采取下列措施：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（一）市场监督管理部门加强对名称、经营范围和股东的登记管理，或者依法列入经营异常名录；</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w:t>
      </w:r>
      <w:r>
        <w:rPr>
          <w:rFonts w:hint="eastAsia" w:ascii="CESI仿宋-GB2312" w:hAnsi="CESI仿宋-GB2312" w:eastAsia="CESI仿宋-GB2312" w:cs="CESI仿宋-GB2312"/>
          <w:color w:val="auto"/>
          <w:sz w:val="32"/>
          <w:szCs w:val="32"/>
          <w:u w:val="none"/>
          <w:lang w:eastAsia="zh-CN"/>
        </w:rPr>
        <w:t>二</w:t>
      </w:r>
      <w:r>
        <w:rPr>
          <w:rFonts w:hint="eastAsia" w:ascii="CESI仿宋-GB2312" w:hAnsi="CESI仿宋-GB2312" w:eastAsia="CESI仿宋-GB2312" w:cs="CESI仿宋-GB2312"/>
          <w:color w:val="auto"/>
          <w:sz w:val="32"/>
          <w:szCs w:val="32"/>
          <w:u w:val="none"/>
        </w:rPr>
        <w:t>）网信、通信管理等部门依法采取暂停相关业务、关闭网站等处置措施；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w:t>
      </w:r>
      <w:r>
        <w:rPr>
          <w:rFonts w:hint="eastAsia" w:ascii="CESI仿宋-GB2312" w:hAnsi="CESI仿宋-GB2312" w:eastAsia="CESI仿宋-GB2312" w:cs="CESI仿宋-GB2312"/>
          <w:color w:val="auto"/>
          <w:sz w:val="32"/>
          <w:szCs w:val="32"/>
          <w:u w:val="none"/>
          <w:lang w:eastAsia="zh-CN"/>
        </w:rPr>
        <w:t>三</w:t>
      </w:r>
      <w:r>
        <w:rPr>
          <w:rFonts w:hint="eastAsia" w:ascii="CESI仿宋-GB2312" w:hAnsi="CESI仿宋-GB2312" w:eastAsia="CESI仿宋-GB2312" w:cs="CESI仿宋-GB2312"/>
          <w:color w:val="auto"/>
          <w:sz w:val="32"/>
          <w:szCs w:val="32"/>
          <w:u w:val="none"/>
        </w:rPr>
        <w:t>）出入境管理部门依法对地方金融组织法定代表人、董事、监事、高级管理人员或者自然人控股股东、自然人重要股东、实际控制人限制出境；</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w:t>
      </w:r>
      <w:r>
        <w:rPr>
          <w:rFonts w:hint="eastAsia" w:ascii="CESI仿宋-GB2312" w:hAnsi="CESI仿宋-GB2312" w:eastAsia="CESI仿宋-GB2312" w:cs="CESI仿宋-GB2312"/>
          <w:color w:val="auto"/>
          <w:sz w:val="32"/>
          <w:szCs w:val="32"/>
          <w:u w:val="none"/>
          <w:lang w:eastAsia="zh-CN"/>
        </w:rPr>
        <w:t>四</w:t>
      </w:r>
      <w:r>
        <w:rPr>
          <w:rFonts w:hint="eastAsia" w:ascii="CESI仿宋-GB2312" w:hAnsi="CESI仿宋-GB2312" w:eastAsia="CESI仿宋-GB2312" w:cs="CESI仿宋-GB2312"/>
          <w:color w:val="auto"/>
          <w:sz w:val="32"/>
          <w:szCs w:val="32"/>
          <w:u w:val="none"/>
        </w:rPr>
        <w:t>）公安</w:t>
      </w:r>
      <w:r>
        <w:rPr>
          <w:rFonts w:hint="eastAsia" w:ascii="CESI仿宋-GB2312" w:hAnsi="CESI仿宋-GB2312" w:eastAsia="CESI仿宋-GB2312" w:cs="CESI仿宋-GB2312"/>
          <w:color w:val="auto"/>
          <w:sz w:val="32"/>
          <w:szCs w:val="32"/>
          <w:u w:val="none"/>
          <w:lang w:eastAsia="zh-CN"/>
        </w:rPr>
        <w:t>机关</w:t>
      </w:r>
      <w:r>
        <w:rPr>
          <w:rFonts w:hint="eastAsia" w:ascii="CESI仿宋-GB2312" w:hAnsi="CESI仿宋-GB2312" w:eastAsia="CESI仿宋-GB2312" w:cs="CESI仿宋-GB2312"/>
          <w:color w:val="auto"/>
          <w:sz w:val="32"/>
          <w:szCs w:val="32"/>
          <w:u w:val="none"/>
        </w:rPr>
        <w:t>、人民法院、人民检察院依法对地方金融组织及其相关人员转移、转让财产的行为采取限制措施。</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
          <w:bCs/>
          <w:color w:val="auto"/>
          <w:sz w:val="32"/>
          <w:szCs w:val="32"/>
          <w:u w:val="none"/>
          <w:lang w:eastAsia="zh-CN"/>
        </w:rPr>
      </w:pPr>
      <w:r>
        <w:rPr>
          <w:rFonts w:hint="eastAsia" w:ascii="CESI仿宋-GB2312" w:hAnsi="CESI仿宋-GB2312" w:eastAsia="CESI仿宋-GB2312" w:cs="CESI仿宋-GB2312"/>
          <w:color w:val="auto"/>
          <w:sz w:val="32"/>
          <w:szCs w:val="32"/>
          <w:u w:val="none"/>
        </w:rPr>
        <w:t>前款规定的机关或者部门应当按照职责做好风险防范和处置工作，并将采取的措施以及相关情况反馈市地方金融监督管理部门。</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第四十四条</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区人民政府应当建立健全地方金融风险处置机制，制定地方金融突发事件应急预案，明确处置机构和人员及其职责、处置措施和处置程序，加强与国家驻厦金融管理机构的协调配合，及时稳妥处置地方金融风险。</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kern w:val="2"/>
          <w:sz w:val="32"/>
          <w:szCs w:val="32"/>
          <w:u w:val="none"/>
          <w:bdr w:val="single" w:color="auto" w:sz="4" w:space="0"/>
          <w:shd w:val="pct10" w:color="auto" w:fill="FFFFFF"/>
        </w:rPr>
      </w:pPr>
      <w:r>
        <w:rPr>
          <w:rFonts w:hint="eastAsia" w:ascii="CESI仿宋-GB2312" w:hAnsi="CESI仿宋-GB2312" w:eastAsia="CESI仿宋-GB2312" w:cs="CESI仿宋-GB2312"/>
          <w:color w:val="auto"/>
          <w:sz w:val="32"/>
          <w:szCs w:val="32"/>
          <w:u w:val="none"/>
        </w:rPr>
        <w:t>地方金融组织的经营活动引发重大金融风险，影响区域金融安全和社会稳定的，其注册地的区人民政府负责牵头协调处置；区人民政府协调处置确有困难的，可以提请市人民政府予以协调。</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第四十五条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w:t>
      </w:r>
      <w:r>
        <w:rPr>
          <w:rFonts w:hint="eastAsia" w:ascii="CESI仿宋-GB2312" w:hAnsi="CESI仿宋-GB2312" w:eastAsia="CESI仿宋-GB2312" w:cs="CESI仿宋-GB2312"/>
          <w:bCs/>
          <w:color w:val="auto"/>
          <w:sz w:val="32"/>
          <w:szCs w:val="32"/>
          <w:u w:val="none"/>
        </w:rPr>
        <w:t>地方金融监督管理部门和其他相关部门及其工作人员对监督管理、风险处置等工作中知悉的个人隐私和商业秘密，应当予以保密。</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 xml:space="preserve">第四十六条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bCs/>
          <w:color w:val="auto"/>
          <w:sz w:val="32"/>
          <w:szCs w:val="32"/>
          <w:u w:val="none"/>
        </w:rPr>
        <w:t>任何单位或者个人均有权对地方金融领域违法违规行为进行投诉、举报。市地方金融监督管理部门应当建立健全投诉、举报处理机制，公布受理方式，及时处理投诉、举报，并对投诉、举报人信息和投诉、举报内容严格保密。</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rPr>
      </w:pPr>
      <w:r>
        <w:rPr>
          <w:rFonts w:hint="eastAsia" w:ascii="Times New Roman" w:hAnsi="Times New Roman" w:eastAsia="黑体" w:cs="黑体"/>
        </w:rPr>
        <w:t>第五章  法律责任</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bCs/>
          <w:color w:val="auto"/>
          <w:sz w:val="32"/>
          <w:szCs w:val="32"/>
          <w:u w:val="none"/>
        </w:rPr>
      </w:pPr>
      <w:r>
        <w:rPr>
          <w:rFonts w:hint="eastAsia" w:ascii="黑体" w:hAnsi="黑体" w:eastAsia="黑体" w:cs="黑体"/>
          <w:b w:val="0"/>
          <w:bCs w:val="0"/>
          <w:color w:val="auto"/>
          <w:sz w:val="32"/>
          <w:szCs w:val="32"/>
          <w:u w:val="none"/>
        </w:rPr>
        <w:t>第四十七条</w:t>
      </w:r>
      <w:r>
        <w:rPr>
          <w:rFonts w:hint="eastAsia" w:ascii="CESI仿宋-GB2312" w:hAnsi="CESI仿宋-GB2312" w:eastAsia="CESI仿宋-GB2312" w:cs="CESI仿宋-GB2312"/>
          <w:bCs/>
          <w:color w:val="auto"/>
          <w:sz w:val="32"/>
          <w:szCs w:val="32"/>
          <w:u w:val="none"/>
        </w:rPr>
        <w:t xml:space="preserve">  违反本条例的行为，法律、行政法规已有法律责任规定的，从其规定；法律、行政法规未规定法律责任的，依照本条例规定执行；构成犯罪的，依法追究刑事责任。</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第四十八条</w:t>
      </w:r>
      <w:bookmarkStart w:id="13" w:name="tiao_36_kuan_1"/>
      <w:bookmarkEnd w:id="13"/>
      <w:r>
        <w:rPr>
          <w:rFonts w:hint="eastAsia" w:ascii="黑体" w:hAnsi="黑体" w:eastAsia="黑体" w:cs="黑体"/>
          <w:b w:val="0"/>
          <w:bCs w:val="0"/>
          <w:color w:val="auto"/>
          <w:sz w:val="32"/>
          <w:szCs w:val="32"/>
          <w:u w:val="none"/>
        </w:rPr>
        <w:t xml:space="preserve"> </w:t>
      </w:r>
      <w:r>
        <w:rPr>
          <w:rFonts w:hint="eastAsia" w:ascii="CESI仿宋-GB2312" w:hAnsi="CESI仿宋-GB2312" w:eastAsia="CESI仿宋-GB2312" w:cs="CESI仿宋-GB2312"/>
          <w:b/>
          <w:color w:val="auto"/>
          <w:sz w:val="32"/>
          <w:szCs w:val="32"/>
          <w:u w:val="none"/>
        </w:rPr>
        <w:t xml:space="preserve"> </w:t>
      </w:r>
      <w:r>
        <w:rPr>
          <w:rFonts w:hint="eastAsia" w:ascii="CESI仿宋-GB2312" w:hAnsi="CESI仿宋-GB2312" w:eastAsia="CESI仿宋-GB2312" w:cs="CESI仿宋-GB2312"/>
          <w:color w:val="auto"/>
          <w:sz w:val="32"/>
          <w:szCs w:val="32"/>
          <w:u w:val="none"/>
        </w:rPr>
        <w:t>违反本条例第</w:t>
      </w:r>
      <w:r>
        <w:rPr>
          <w:rFonts w:hint="eastAsia" w:ascii="CESI仿宋-GB2312" w:hAnsi="CESI仿宋-GB2312" w:eastAsia="CESI仿宋-GB2312" w:cs="CESI仿宋-GB2312"/>
          <w:bCs/>
          <w:color w:val="auto"/>
          <w:sz w:val="32"/>
          <w:szCs w:val="32"/>
          <w:u w:val="none"/>
        </w:rPr>
        <w:t>二十四</w:t>
      </w:r>
      <w:r>
        <w:rPr>
          <w:rFonts w:hint="eastAsia" w:ascii="CESI仿宋-GB2312" w:hAnsi="CESI仿宋-GB2312" w:eastAsia="CESI仿宋-GB2312" w:cs="CESI仿宋-GB2312"/>
          <w:color w:val="auto"/>
          <w:sz w:val="32"/>
          <w:szCs w:val="32"/>
          <w:u w:val="none"/>
        </w:rPr>
        <w:t>条第一款规定，设立地方金融组织未按照国家有关规定办理许可等手续，或者非法从事地方金融组织的业务活动的，由市地方金融监督管理部门依法责令停业，没收违法所得，违法所得十万元以上的，并处违法所得三倍以上五倍以下罚款；没有违法所得或者违法所得不足十万元的，并处十万元以上五十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第四十九条</w:t>
      </w:r>
      <w:bookmarkStart w:id="14" w:name="tiao_46_kuan_1"/>
      <w:bookmarkEnd w:id="14"/>
      <w:r>
        <w:rPr>
          <w:rFonts w:hint="eastAsia" w:ascii="黑体" w:hAnsi="黑体" w:eastAsia="黑体" w:cs="黑体"/>
          <w:b w:val="0"/>
          <w:bCs w:val="0"/>
          <w:color w:val="auto"/>
          <w:sz w:val="32"/>
          <w:szCs w:val="32"/>
          <w:u w:val="none"/>
        </w:rPr>
        <w:t xml:space="preserve">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地方金融组织违反本条例第</w:t>
      </w:r>
      <w:r>
        <w:rPr>
          <w:rFonts w:hint="eastAsia" w:ascii="CESI仿宋-GB2312" w:hAnsi="CESI仿宋-GB2312" w:eastAsia="CESI仿宋-GB2312" w:cs="CESI仿宋-GB2312"/>
          <w:bCs/>
          <w:color w:val="auto"/>
          <w:sz w:val="32"/>
          <w:szCs w:val="32"/>
          <w:u w:val="none"/>
        </w:rPr>
        <w:t>二十六</w:t>
      </w:r>
      <w:r>
        <w:rPr>
          <w:rFonts w:hint="eastAsia" w:ascii="CESI仿宋-GB2312" w:hAnsi="CESI仿宋-GB2312" w:eastAsia="CESI仿宋-GB2312" w:cs="CESI仿宋-GB2312"/>
          <w:color w:val="auto"/>
          <w:sz w:val="32"/>
          <w:szCs w:val="32"/>
          <w:u w:val="none"/>
        </w:rPr>
        <w:t>条、第</w:t>
      </w:r>
      <w:r>
        <w:rPr>
          <w:rFonts w:hint="eastAsia" w:ascii="CESI仿宋-GB2312" w:hAnsi="CESI仿宋-GB2312" w:eastAsia="CESI仿宋-GB2312" w:cs="CESI仿宋-GB2312"/>
          <w:bCs/>
          <w:color w:val="auto"/>
          <w:sz w:val="32"/>
          <w:szCs w:val="32"/>
          <w:u w:val="none"/>
        </w:rPr>
        <w:t>二十八</w:t>
      </w:r>
      <w:r>
        <w:rPr>
          <w:rFonts w:hint="eastAsia" w:ascii="CESI仿宋-GB2312" w:hAnsi="CESI仿宋-GB2312" w:eastAsia="CESI仿宋-GB2312" w:cs="CESI仿宋-GB2312"/>
          <w:color w:val="auto"/>
          <w:sz w:val="32"/>
          <w:szCs w:val="32"/>
          <w:u w:val="none"/>
        </w:rPr>
        <w:t>条第二款规定的，由市地方金融监督管理部门责令限期改正，没收违法所得；逾期不改正的，处</w:t>
      </w:r>
      <w:r>
        <w:rPr>
          <w:rFonts w:hint="eastAsia" w:ascii="CESI仿宋-GB2312" w:hAnsi="CESI仿宋-GB2312" w:eastAsia="CESI仿宋-GB2312" w:cs="CESI仿宋-GB2312"/>
          <w:color w:val="auto"/>
          <w:sz w:val="32"/>
          <w:szCs w:val="32"/>
          <w:u w:val="none"/>
          <w:lang w:eastAsia="zh-CN"/>
        </w:rPr>
        <w:t>五</w:t>
      </w:r>
      <w:r>
        <w:rPr>
          <w:rFonts w:hint="eastAsia" w:ascii="CESI仿宋-GB2312" w:hAnsi="CESI仿宋-GB2312" w:eastAsia="CESI仿宋-GB2312" w:cs="CESI仿宋-GB2312"/>
          <w:color w:val="auto"/>
          <w:sz w:val="32"/>
          <w:szCs w:val="32"/>
          <w:u w:val="none"/>
        </w:rPr>
        <w:t>万元以上</w:t>
      </w:r>
      <w:r>
        <w:rPr>
          <w:rFonts w:hint="eastAsia" w:ascii="CESI仿宋-GB2312" w:hAnsi="CESI仿宋-GB2312" w:eastAsia="CESI仿宋-GB2312" w:cs="CESI仿宋-GB2312"/>
          <w:color w:val="auto"/>
          <w:sz w:val="32"/>
          <w:szCs w:val="32"/>
          <w:u w:val="none"/>
          <w:lang w:eastAsia="zh-CN"/>
        </w:rPr>
        <w:t>二</w:t>
      </w:r>
      <w:r>
        <w:rPr>
          <w:rFonts w:hint="eastAsia" w:ascii="CESI仿宋-GB2312" w:hAnsi="CESI仿宋-GB2312" w:eastAsia="CESI仿宋-GB2312" w:cs="CESI仿宋-GB2312"/>
          <w:color w:val="auto"/>
          <w:sz w:val="32"/>
          <w:szCs w:val="32"/>
          <w:u w:val="none"/>
        </w:rPr>
        <w:t>十万元以下罚款。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第五十条</w:t>
      </w:r>
      <w:r>
        <w:rPr>
          <w:rFonts w:hint="eastAsia" w:ascii="CESI仿宋-GB2312" w:hAnsi="CESI仿宋-GB2312" w:eastAsia="CESI仿宋-GB2312" w:cs="CESI仿宋-GB2312"/>
          <w:color w:val="auto"/>
          <w:sz w:val="32"/>
          <w:szCs w:val="32"/>
          <w:u w:val="none"/>
        </w:rPr>
        <w:t xml:space="preserve">  违反本条例第</w:t>
      </w:r>
      <w:r>
        <w:rPr>
          <w:rFonts w:hint="eastAsia" w:ascii="CESI仿宋-GB2312" w:hAnsi="CESI仿宋-GB2312" w:eastAsia="CESI仿宋-GB2312" w:cs="CESI仿宋-GB2312"/>
          <w:bCs/>
          <w:color w:val="auto"/>
          <w:sz w:val="32"/>
          <w:szCs w:val="32"/>
          <w:u w:val="none"/>
        </w:rPr>
        <w:t>二十</w:t>
      </w:r>
      <w:r>
        <w:rPr>
          <w:rFonts w:hint="eastAsia" w:ascii="CESI仿宋-GB2312" w:hAnsi="CESI仿宋-GB2312" w:eastAsia="CESI仿宋-GB2312" w:cs="CESI仿宋-GB2312"/>
          <w:color w:val="auto"/>
          <w:sz w:val="32"/>
          <w:szCs w:val="32"/>
          <w:u w:val="none"/>
        </w:rPr>
        <w:t>九条规定，地方金融组织未按照要求接入地方金融非现场监督管理信息系统</w:t>
      </w:r>
      <w:r>
        <w:rPr>
          <w:rFonts w:hint="eastAsia" w:ascii="CESI仿宋-GB2312" w:hAnsi="CESI仿宋-GB2312" w:eastAsia="CESI仿宋-GB2312" w:cs="CESI仿宋-GB2312"/>
          <w:bCs/>
          <w:color w:val="auto"/>
          <w:sz w:val="32"/>
          <w:szCs w:val="32"/>
          <w:u w:val="none"/>
        </w:rPr>
        <w:t>报送业务经营数据和资料，或者未报送年度经营报告、审计报告</w:t>
      </w:r>
      <w:r>
        <w:rPr>
          <w:rFonts w:hint="eastAsia" w:ascii="CESI仿宋-GB2312" w:hAnsi="CESI仿宋-GB2312" w:eastAsia="CESI仿宋-GB2312" w:cs="CESI仿宋-GB2312"/>
          <w:color w:val="auto"/>
          <w:sz w:val="32"/>
          <w:szCs w:val="32"/>
          <w:u w:val="none"/>
        </w:rPr>
        <w:t>的</w:t>
      </w:r>
      <w:r>
        <w:rPr>
          <w:rFonts w:hint="eastAsia" w:ascii="CESI仿宋-GB2312" w:hAnsi="CESI仿宋-GB2312" w:eastAsia="CESI仿宋-GB2312" w:cs="CESI仿宋-GB2312"/>
          <w:bCs/>
          <w:color w:val="auto"/>
          <w:sz w:val="32"/>
          <w:szCs w:val="32"/>
          <w:u w:val="none"/>
        </w:rPr>
        <w:t>，</w:t>
      </w:r>
      <w:r>
        <w:rPr>
          <w:rFonts w:hint="eastAsia" w:ascii="CESI仿宋-GB2312" w:hAnsi="CESI仿宋-GB2312" w:eastAsia="CESI仿宋-GB2312" w:cs="CESI仿宋-GB2312"/>
          <w:color w:val="auto"/>
          <w:sz w:val="32"/>
          <w:szCs w:val="32"/>
          <w:u w:val="none"/>
        </w:rPr>
        <w:t>由市地方金融监督管理部门</w:t>
      </w:r>
      <w:r>
        <w:rPr>
          <w:rFonts w:hint="eastAsia" w:ascii="CESI仿宋-GB2312" w:hAnsi="CESI仿宋-GB2312" w:eastAsia="CESI仿宋-GB2312" w:cs="CESI仿宋-GB2312"/>
          <w:bCs/>
          <w:color w:val="auto"/>
          <w:sz w:val="32"/>
          <w:szCs w:val="32"/>
          <w:u w:val="none"/>
        </w:rPr>
        <w:t>责令限期改正；逾期不改正的，处一万元以上五万元以下罚款</w:t>
      </w:r>
      <w:r>
        <w:rPr>
          <w:rFonts w:hint="eastAsia" w:ascii="CESI仿宋-GB2312" w:hAnsi="CESI仿宋-GB2312" w:eastAsia="CESI仿宋-GB2312" w:cs="CESI仿宋-GB2312"/>
          <w:color w:val="auto"/>
          <w:sz w:val="32"/>
          <w:szCs w:val="32"/>
          <w:u w:val="none"/>
        </w:rPr>
        <w:t>。</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第五十一条</w:t>
      </w:r>
      <w:r>
        <w:rPr>
          <w:rFonts w:hint="eastAsia" w:ascii="CESI仿宋-GB2312" w:hAnsi="CESI仿宋-GB2312" w:eastAsia="CESI仿宋-GB2312" w:cs="CESI仿宋-GB2312"/>
          <w:b/>
          <w:color w:val="auto"/>
          <w:sz w:val="32"/>
          <w:szCs w:val="32"/>
          <w:u w:val="none"/>
        </w:rPr>
        <w:t xml:space="preserve">  </w:t>
      </w:r>
      <w:r>
        <w:rPr>
          <w:rFonts w:hint="eastAsia" w:ascii="CESI仿宋-GB2312" w:hAnsi="CESI仿宋-GB2312" w:eastAsia="CESI仿宋-GB2312" w:cs="CESI仿宋-GB2312"/>
          <w:bCs/>
          <w:color w:val="auto"/>
          <w:sz w:val="32"/>
          <w:szCs w:val="32"/>
          <w:u w:val="none"/>
        </w:rPr>
        <w:t>地方金融组织</w:t>
      </w:r>
      <w:r>
        <w:rPr>
          <w:rFonts w:hint="eastAsia" w:ascii="CESI仿宋-GB2312" w:hAnsi="CESI仿宋-GB2312" w:eastAsia="CESI仿宋-GB2312" w:cs="CESI仿宋-GB2312"/>
          <w:color w:val="auto"/>
          <w:sz w:val="32"/>
          <w:szCs w:val="32"/>
          <w:u w:val="none"/>
        </w:rPr>
        <w:t>违反本条例第三</w:t>
      </w:r>
      <w:r>
        <w:rPr>
          <w:rFonts w:hint="eastAsia" w:ascii="CESI仿宋-GB2312" w:hAnsi="CESI仿宋-GB2312" w:eastAsia="CESI仿宋-GB2312" w:cs="CESI仿宋-GB2312"/>
          <w:bCs/>
          <w:color w:val="auto"/>
          <w:sz w:val="32"/>
          <w:szCs w:val="32"/>
          <w:u w:val="none"/>
        </w:rPr>
        <w:t>十</w:t>
      </w:r>
      <w:r>
        <w:rPr>
          <w:rFonts w:hint="eastAsia" w:ascii="CESI仿宋-GB2312" w:hAnsi="CESI仿宋-GB2312" w:eastAsia="CESI仿宋-GB2312" w:cs="CESI仿宋-GB2312"/>
          <w:color w:val="auto"/>
          <w:sz w:val="32"/>
          <w:szCs w:val="32"/>
          <w:u w:val="none"/>
        </w:rPr>
        <w:t>条第一款规定的，由市地方金融监督管理部门</w:t>
      </w:r>
      <w:r>
        <w:rPr>
          <w:rFonts w:hint="eastAsia" w:ascii="CESI仿宋-GB2312" w:hAnsi="CESI仿宋-GB2312" w:eastAsia="CESI仿宋-GB2312" w:cs="CESI仿宋-GB2312"/>
          <w:bCs/>
          <w:color w:val="auto"/>
          <w:sz w:val="32"/>
          <w:szCs w:val="32"/>
          <w:u w:val="none"/>
        </w:rPr>
        <w:t>责令限期改正，没收违法所得，</w:t>
      </w:r>
      <w:r>
        <w:rPr>
          <w:rFonts w:hint="eastAsia" w:ascii="CESI仿宋-GB2312" w:hAnsi="CESI仿宋-GB2312" w:eastAsia="CESI仿宋-GB2312" w:cs="CESI仿宋-GB2312"/>
          <w:color w:val="auto"/>
          <w:sz w:val="32"/>
          <w:szCs w:val="32"/>
          <w:u w:val="none"/>
        </w:rPr>
        <w:t>违法所得五万元以上的，并处违法所得三倍以上五倍以下罚款；没有违法所得或者违法所得不足五万元的，并处五万元以上二十万元以下罚款。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第五十二条 </w:t>
      </w:r>
      <w:r>
        <w:rPr>
          <w:rFonts w:hint="eastAsia" w:ascii="CESI仿宋-GB2312" w:hAnsi="CESI仿宋-GB2312" w:eastAsia="CESI仿宋-GB2312" w:cs="CESI仿宋-GB2312"/>
          <w:b/>
          <w:color w:val="auto"/>
          <w:sz w:val="32"/>
          <w:szCs w:val="32"/>
          <w:u w:val="none"/>
        </w:rPr>
        <w:t xml:space="preserve"> </w:t>
      </w:r>
      <w:r>
        <w:rPr>
          <w:rFonts w:hint="eastAsia" w:ascii="CESI仿宋-GB2312" w:hAnsi="CESI仿宋-GB2312" w:eastAsia="CESI仿宋-GB2312" w:cs="CESI仿宋-GB2312"/>
          <w:bCs/>
          <w:color w:val="auto"/>
          <w:sz w:val="32"/>
          <w:szCs w:val="32"/>
          <w:u w:val="none"/>
        </w:rPr>
        <w:t>地方金融组织</w:t>
      </w:r>
      <w:r>
        <w:rPr>
          <w:rFonts w:hint="eastAsia" w:ascii="CESI仿宋-GB2312" w:hAnsi="CESI仿宋-GB2312" w:eastAsia="CESI仿宋-GB2312" w:cs="CESI仿宋-GB2312"/>
          <w:color w:val="auto"/>
          <w:sz w:val="32"/>
          <w:szCs w:val="32"/>
          <w:u w:val="none"/>
        </w:rPr>
        <w:t>违反本条例第</w:t>
      </w:r>
      <w:r>
        <w:rPr>
          <w:rFonts w:hint="eastAsia" w:ascii="CESI仿宋-GB2312" w:hAnsi="CESI仿宋-GB2312" w:eastAsia="CESI仿宋-GB2312" w:cs="CESI仿宋-GB2312"/>
          <w:bCs/>
          <w:color w:val="auto"/>
          <w:sz w:val="32"/>
          <w:szCs w:val="32"/>
          <w:u w:val="none"/>
        </w:rPr>
        <w:t>三十一</w:t>
      </w:r>
      <w:r>
        <w:rPr>
          <w:rFonts w:hint="eastAsia" w:ascii="CESI仿宋-GB2312" w:hAnsi="CESI仿宋-GB2312" w:eastAsia="CESI仿宋-GB2312" w:cs="CESI仿宋-GB2312"/>
          <w:color w:val="auto"/>
          <w:sz w:val="32"/>
          <w:szCs w:val="32"/>
          <w:u w:val="none"/>
        </w:rPr>
        <w:t>条规定的，由市地方金融监督管理部门责令限期改正，</w:t>
      </w:r>
      <w:r>
        <w:rPr>
          <w:rFonts w:hint="eastAsia" w:ascii="CESI仿宋-GB2312" w:hAnsi="CESI仿宋-GB2312" w:eastAsia="CESI仿宋-GB2312" w:cs="CESI仿宋-GB2312"/>
          <w:bCs/>
          <w:color w:val="auto"/>
          <w:sz w:val="32"/>
          <w:szCs w:val="32"/>
          <w:u w:val="none"/>
        </w:rPr>
        <w:t>没收违法所得，</w:t>
      </w:r>
      <w:r>
        <w:rPr>
          <w:rFonts w:hint="eastAsia" w:ascii="CESI仿宋-GB2312" w:hAnsi="CESI仿宋-GB2312" w:eastAsia="CESI仿宋-GB2312" w:cs="CESI仿宋-GB2312"/>
          <w:color w:val="auto"/>
          <w:sz w:val="32"/>
          <w:szCs w:val="32"/>
          <w:u w:val="none"/>
        </w:rPr>
        <w:t>违法所得十万元以上的，并处违法所得三倍以上五倍以下罚款；没有违法所得或者违法所得不足十万元的，并处十万元以上五十万元以下罚款。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第五十三条 </w:t>
      </w:r>
      <w:r>
        <w:rPr>
          <w:rFonts w:hint="eastAsia" w:ascii="CESI仿宋-GB2312" w:hAnsi="CESI仿宋-GB2312" w:eastAsia="CESI仿宋-GB2312" w:cs="CESI仿宋-GB2312"/>
          <w:color w:val="auto"/>
          <w:sz w:val="32"/>
          <w:szCs w:val="32"/>
          <w:u w:val="none"/>
        </w:rPr>
        <w:t xml:space="preserve"> 地方金融组织有下列情形的，由市地方金融监督管理部门责令限期改正，并按照下列规定予以处罚：</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（一）拒绝、阻碍市地方金融监督管理部门依照本条例第三十七条规定实施现场检查的，处一万元以上五万元以下罚款；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（二）发生重大风险事件，未依照本条例第四十条规定立即采取应急措施、及时报告市地方金融监督管理部门</w:t>
      </w:r>
      <w:r>
        <w:rPr>
          <w:rFonts w:hint="eastAsia" w:ascii="CESI仿宋-GB2312" w:hAnsi="CESI仿宋-GB2312" w:eastAsia="CESI仿宋-GB2312" w:cs="CESI仿宋-GB2312"/>
          <w:color w:val="auto"/>
          <w:sz w:val="32"/>
          <w:szCs w:val="32"/>
          <w:u w:val="none"/>
          <w:lang w:eastAsia="zh-CN"/>
        </w:rPr>
        <w:t>及其注册地的区人民政府</w:t>
      </w:r>
      <w:r>
        <w:rPr>
          <w:rFonts w:hint="eastAsia" w:ascii="CESI仿宋-GB2312" w:hAnsi="CESI仿宋-GB2312" w:eastAsia="CESI仿宋-GB2312" w:cs="CESI仿宋-GB2312"/>
          <w:color w:val="auto"/>
          <w:sz w:val="32"/>
          <w:szCs w:val="32"/>
          <w:u w:val="none"/>
        </w:rPr>
        <w:t>的，处一万元以上五万元以下罚款；情节严重的，处五万元以上二十万元以下罚款；</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CESI仿宋-GB2312" w:hAnsi="CESI仿宋-GB2312" w:eastAsia="CESI仿宋-GB2312" w:cs="CESI仿宋-GB2312"/>
          <w:color w:val="auto"/>
          <w:sz w:val="32"/>
          <w:szCs w:val="32"/>
          <w:u w:val="none"/>
        </w:rPr>
        <w:t>（三）拒绝执行或者阻碍市地方金融监督管理部门依照本条例第</w:t>
      </w:r>
      <w:r>
        <w:rPr>
          <w:rFonts w:hint="eastAsia" w:ascii="CESI仿宋-GB2312" w:hAnsi="CESI仿宋-GB2312" w:eastAsia="CESI仿宋-GB2312" w:cs="CESI仿宋-GB2312"/>
          <w:bCs/>
          <w:color w:val="auto"/>
          <w:spacing w:val="-4"/>
          <w:sz w:val="32"/>
          <w:szCs w:val="32"/>
          <w:u w:val="none"/>
        </w:rPr>
        <w:t>四十一</w:t>
      </w:r>
      <w:r>
        <w:rPr>
          <w:rFonts w:hint="eastAsia" w:ascii="CESI仿宋-GB2312" w:hAnsi="CESI仿宋-GB2312" w:eastAsia="CESI仿宋-GB2312" w:cs="CESI仿宋-GB2312"/>
          <w:color w:val="auto"/>
          <w:sz w:val="32"/>
          <w:szCs w:val="32"/>
          <w:u w:val="none"/>
        </w:rPr>
        <w:t>条第一款规定采取的措施的，处五万元以上二十万元以下罚款。</w:t>
      </w:r>
      <w:bookmarkStart w:id="15" w:name="tiao_46_kuan_1_xiang_1"/>
      <w:bookmarkEnd w:id="15"/>
      <w:bookmarkStart w:id="16" w:name="tiao_46_kuan_1_xiang_2"/>
      <w:bookmarkEnd w:id="16"/>
      <w:bookmarkStart w:id="17" w:name="tiao46_kuan1_xiang1"/>
      <w:bookmarkEnd w:id="17"/>
      <w:bookmarkStart w:id="18" w:name="tiao_46_kuan_1_xiang_3"/>
      <w:bookmarkEnd w:id="18"/>
      <w:bookmarkStart w:id="19" w:name="tiao46_kuan1_xiang3"/>
      <w:bookmarkEnd w:id="19"/>
      <w:bookmarkStart w:id="20" w:name="tiao46_kuan1_xiang2"/>
      <w:bookmarkEnd w:id="20"/>
      <w:bookmarkStart w:id="21" w:name="tiao_46_kuan_1_xiang_4"/>
      <w:bookmarkEnd w:id="21"/>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 xml:space="preserve">第五十四条 </w:t>
      </w:r>
      <w:r>
        <w:rPr>
          <w:rFonts w:hint="eastAsia" w:ascii="CESI仿宋-GB2312" w:hAnsi="CESI仿宋-GB2312" w:eastAsia="CESI仿宋-GB2312" w:cs="CESI仿宋-GB2312"/>
          <w:b/>
          <w:bCs/>
          <w:color w:val="auto"/>
          <w:sz w:val="32"/>
          <w:szCs w:val="32"/>
          <w:u w:val="none"/>
        </w:rPr>
        <w:t xml:space="preserve"> </w:t>
      </w:r>
      <w:r>
        <w:rPr>
          <w:rFonts w:hint="eastAsia" w:ascii="CESI仿宋-GB2312" w:hAnsi="CESI仿宋-GB2312" w:eastAsia="CESI仿宋-GB2312" w:cs="CESI仿宋-GB2312"/>
          <w:color w:val="auto"/>
          <w:sz w:val="32"/>
          <w:szCs w:val="32"/>
          <w:u w:val="none"/>
        </w:rPr>
        <w:t>市地方金融监督管理部门依照本条例规定对地方金融组织作出行政处罚的，根据具体情形，可以同时对负有直接责任的董事、监事、高级管理人员处以单位罚款数额百分之五以上百分之十以下罚款。</w:t>
      </w:r>
    </w:p>
    <w:p>
      <w:pPr>
        <w:keepNext w:val="0"/>
        <w:keepLines w:val="0"/>
        <w:pageBreakBefore w:val="0"/>
        <w:widowControl w:val="0"/>
        <w:kinsoku/>
        <w:wordWrap/>
        <w:overflowPunct/>
        <w:topLinePunct w:val="0"/>
        <w:autoSpaceDE/>
        <w:autoSpaceDN/>
        <w:bidi w:val="0"/>
        <w:adjustRightInd/>
        <w:snapToGrid/>
        <w:spacing w:before="321" w:beforeLines="50" w:after="321" w:afterLines="50" w:line="570" w:lineRule="exact"/>
        <w:jc w:val="center"/>
        <w:textAlignment w:val="auto"/>
        <w:rPr>
          <w:rFonts w:hint="eastAsia" w:ascii="Times New Roman" w:hAnsi="Times New Roman" w:eastAsia="黑体" w:cs="黑体"/>
        </w:rPr>
      </w:pPr>
      <w:bookmarkStart w:id="22" w:name="tiao_68_kuan_1"/>
      <w:bookmarkEnd w:id="22"/>
      <w:bookmarkStart w:id="23" w:name="tiao_56"/>
      <w:bookmarkEnd w:id="23"/>
      <w:r>
        <w:rPr>
          <w:rFonts w:hint="eastAsia" w:ascii="Times New Roman" w:hAnsi="Times New Roman" w:eastAsia="黑体" w:cs="黑体"/>
        </w:rPr>
        <w:t>第六章  附  则</w:t>
      </w:r>
    </w:p>
    <w:p>
      <w:pPr>
        <w:pStyle w:val="23"/>
        <w:keepNext w:val="0"/>
        <w:keepLines w:val="0"/>
        <w:pageBreakBefore w:val="0"/>
        <w:widowControl w:val="0"/>
        <w:kinsoku/>
        <w:wordWrap/>
        <w:overflowPunct/>
        <w:topLinePunct w:val="0"/>
        <w:bidi w:val="0"/>
        <w:spacing w:before="0" w:beforeAutospacing="0" w:after="0" w:afterAutospacing="0" w:line="570" w:lineRule="exact"/>
        <w:ind w:firstLine="608" w:firstLineChars="200"/>
        <w:jc w:val="both"/>
        <w:textAlignment w:val="auto"/>
        <w:rPr>
          <w:rFonts w:hint="eastAsia" w:ascii="CESI仿宋-GB2312" w:hAnsi="CESI仿宋-GB2312" w:eastAsia="CESI仿宋-GB2312" w:cs="CESI仿宋-GB2312"/>
          <w:color w:val="auto"/>
          <w:sz w:val="32"/>
          <w:szCs w:val="32"/>
          <w:u w:val="none"/>
        </w:rPr>
      </w:pPr>
      <w:r>
        <w:rPr>
          <w:rFonts w:hint="eastAsia" w:ascii="黑体" w:hAnsi="黑体" w:eastAsia="黑体" w:cs="黑体"/>
          <w:b w:val="0"/>
          <w:bCs w:val="0"/>
          <w:color w:val="auto"/>
          <w:sz w:val="32"/>
          <w:szCs w:val="32"/>
          <w:u w:val="none"/>
        </w:rPr>
        <w:t>第五十</w:t>
      </w:r>
      <w:r>
        <w:rPr>
          <w:rFonts w:hint="eastAsia" w:ascii="黑体" w:hAnsi="黑体" w:eastAsia="黑体" w:cs="黑体"/>
          <w:b w:val="0"/>
          <w:bCs w:val="0"/>
          <w:color w:val="auto"/>
          <w:sz w:val="32"/>
          <w:szCs w:val="32"/>
          <w:u w:val="none"/>
          <w:lang w:eastAsia="zh-CN"/>
        </w:rPr>
        <w:t>五</w:t>
      </w:r>
      <w:r>
        <w:rPr>
          <w:rFonts w:hint="eastAsia" w:ascii="黑体" w:hAnsi="黑体" w:eastAsia="黑体" w:cs="黑体"/>
          <w:b w:val="0"/>
          <w:bCs w:val="0"/>
          <w:color w:val="auto"/>
          <w:sz w:val="32"/>
          <w:szCs w:val="32"/>
          <w:u w:val="none"/>
        </w:rPr>
        <w:t xml:space="preserve">条 </w:t>
      </w:r>
      <w:r>
        <w:rPr>
          <w:rFonts w:hint="eastAsia" w:ascii="CESI仿宋-GB2312" w:hAnsi="CESI仿宋-GB2312" w:eastAsia="CESI仿宋-GB2312" w:cs="CESI仿宋-GB2312"/>
          <w:color w:val="auto"/>
          <w:sz w:val="32"/>
          <w:szCs w:val="32"/>
          <w:u w:val="none"/>
        </w:rPr>
        <w:t xml:space="preserve"> 市人民政府可以依据本条例制定相关实施细则。</w:t>
      </w:r>
    </w:p>
    <w:p>
      <w:pPr>
        <w:keepNext w:val="0"/>
        <w:keepLines w:val="0"/>
        <w:pageBreakBefore w:val="0"/>
        <w:widowControl w:val="0"/>
        <w:kinsoku/>
        <w:wordWrap/>
        <w:overflowPunct/>
        <w:topLinePunct w:val="0"/>
        <w:bidi w:val="0"/>
        <w:spacing w:line="570" w:lineRule="exact"/>
        <w:ind w:left="3" w:firstLine="615"/>
        <w:jc w:val="both"/>
        <w:textAlignment w:val="auto"/>
        <w:rPr>
          <w:rFonts w:hint="eastAsia" w:ascii="CESI仿宋-GB2312" w:hAnsi="CESI仿宋-GB2312" w:eastAsia="CESI仿宋-GB2312" w:cs="CESI仿宋-GB2312"/>
          <w:color w:val="auto"/>
          <w:kern w:val="2"/>
          <w:u w:val="none"/>
        </w:rPr>
      </w:pPr>
      <w:r>
        <w:rPr>
          <w:rFonts w:hint="eastAsia" w:ascii="黑体" w:hAnsi="黑体" w:eastAsia="黑体" w:cs="黑体"/>
          <w:b w:val="0"/>
          <w:bCs w:val="0"/>
          <w:color w:val="auto"/>
          <w:sz w:val="32"/>
          <w:szCs w:val="32"/>
          <w:u w:val="none"/>
          <w:lang w:val="en-US" w:eastAsia="zh-CN" w:bidi="ar-SA"/>
        </w:rPr>
        <w:t>第五十六条</w:t>
      </w:r>
      <w:r>
        <w:rPr>
          <w:rFonts w:hint="eastAsia" w:ascii="CESI仿宋-GB2312" w:hAnsi="CESI仿宋-GB2312" w:eastAsia="CESI仿宋-GB2312" w:cs="CESI仿宋-GB2312"/>
          <w:b/>
          <w:bCs/>
          <w:color w:val="auto"/>
          <w:kern w:val="2"/>
          <w:u w:val="none"/>
        </w:rPr>
        <w:t xml:space="preserve">  </w:t>
      </w:r>
      <w:r>
        <w:rPr>
          <w:rFonts w:hint="eastAsia" w:ascii="CESI仿宋-GB2312" w:hAnsi="CESI仿宋-GB2312" w:eastAsia="CESI仿宋-GB2312" w:cs="CESI仿宋-GB2312"/>
          <w:color w:val="auto"/>
          <w:kern w:val="2"/>
          <w:u w:val="none"/>
        </w:rPr>
        <w:t>本条例自</w:t>
      </w:r>
      <w:r>
        <w:rPr>
          <w:rFonts w:hint="eastAsia" w:ascii="CESI仿宋-GB2312" w:hAnsi="CESI仿宋-GB2312" w:eastAsia="CESI仿宋-GB2312" w:cs="CESI仿宋-GB2312"/>
          <w:color w:val="auto"/>
          <w:kern w:val="2"/>
          <w:u w:val="none"/>
          <w:lang w:val="en-US" w:eastAsia="zh-CN"/>
        </w:rPr>
        <w:t>2021</w:t>
      </w:r>
      <w:r>
        <w:rPr>
          <w:rFonts w:hint="eastAsia" w:ascii="CESI仿宋-GB2312" w:hAnsi="CESI仿宋-GB2312" w:eastAsia="CESI仿宋-GB2312" w:cs="CESI仿宋-GB2312"/>
          <w:color w:val="auto"/>
          <w:kern w:val="2"/>
          <w:u w:val="none"/>
        </w:rPr>
        <w:t xml:space="preserve">年 </w:t>
      </w:r>
      <w:r>
        <w:rPr>
          <w:rFonts w:hint="eastAsia" w:ascii="CESI仿宋-GB2312" w:hAnsi="CESI仿宋-GB2312" w:eastAsia="CESI仿宋-GB2312" w:cs="CESI仿宋-GB2312"/>
          <w:color w:val="auto"/>
          <w:kern w:val="2"/>
          <w:u w:val="none"/>
          <w:lang w:val="en-US" w:eastAsia="zh-CN"/>
        </w:rPr>
        <w:t>1</w:t>
      </w:r>
      <w:r>
        <w:rPr>
          <w:rFonts w:hint="eastAsia" w:ascii="CESI仿宋-GB2312" w:hAnsi="CESI仿宋-GB2312" w:eastAsia="CESI仿宋-GB2312" w:cs="CESI仿宋-GB2312"/>
          <w:color w:val="auto"/>
          <w:kern w:val="2"/>
          <w:u w:val="none"/>
        </w:rPr>
        <w:t>月</w:t>
      </w:r>
      <w:r>
        <w:rPr>
          <w:rFonts w:hint="eastAsia" w:ascii="CESI仿宋-GB2312" w:hAnsi="CESI仿宋-GB2312" w:eastAsia="CESI仿宋-GB2312" w:cs="CESI仿宋-GB2312"/>
          <w:color w:val="auto"/>
          <w:kern w:val="2"/>
          <w:u w:val="none"/>
          <w:lang w:val="en-US" w:eastAsia="zh-CN"/>
        </w:rPr>
        <w:t>1</w:t>
      </w:r>
      <w:r>
        <w:rPr>
          <w:rFonts w:hint="eastAsia" w:ascii="CESI仿宋-GB2312" w:hAnsi="CESI仿宋-GB2312" w:eastAsia="CESI仿宋-GB2312" w:cs="CESI仿宋-GB2312"/>
          <w:color w:val="auto"/>
          <w:kern w:val="2"/>
          <w:u w:val="none"/>
        </w:rPr>
        <w:t>日起施行。</w:t>
      </w:r>
    </w:p>
    <w:p>
      <w:pPr>
        <w:pStyle w:val="2"/>
        <w:keepNext w:val="0"/>
        <w:keepLines w:val="0"/>
        <w:pageBreakBefore w:val="0"/>
        <w:widowControl w:val="0"/>
        <w:kinsoku/>
        <w:wordWrap/>
        <w:overflowPunct/>
        <w:topLinePunct w:val="0"/>
        <w:autoSpaceDE/>
        <w:autoSpaceDN/>
        <w:bidi w:val="0"/>
        <w:adjustRightInd/>
        <w:snapToGrid/>
        <w:spacing w:line="570" w:lineRule="exact"/>
        <w:ind w:left="0" w:leftChars="0" w:firstLine="0" w:firstLineChars="0"/>
        <w:jc w:val="both"/>
        <w:textAlignment w:val="auto"/>
        <w:rPr>
          <w:rFonts w:hint="eastAsia" w:ascii="CESI仿宋-GB2312" w:hAnsi="CESI仿宋-GB2312" w:eastAsia="CESI仿宋-GB2312" w:cs="CESI仿宋-GB2312"/>
          <w:sz w:val="32"/>
          <w:szCs w:val="32"/>
          <w:u w:val="none"/>
        </w:rPr>
      </w:pPr>
    </w:p>
    <w:p>
      <w:pPr>
        <w:keepNext w:val="0"/>
        <w:keepLines w:val="0"/>
        <w:pageBreakBefore w:val="0"/>
        <w:widowControl w:val="0"/>
        <w:kinsoku/>
        <w:wordWrap/>
        <w:overflowPunct/>
        <w:topLinePunct w:val="0"/>
        <w:autoSpaceDE/>
        <w:autoSpaceDN/>
        <w:bidi w:val="0"/>
        <w:adjustRightInd w:val="0"/>
        <w:snapToGrid w:val="0"/>
        <w:spacing w:line="20" w:lineRule="exact"/>
        <w:ind w:firstLine="608" w:firstLineChars="200"/>
        <w:textAlignment w:val="auto"/>
        <w:rPr>
          <w:rFonts w:hint="eastAsia" w:ascii="Times New Roman" w:hAnsi="Times New Roman" w:eastAsia="仿宋_GB2312"/>
          <w:bCs/>
          <w:color w:val="auto"/>
        </w:rPr>
      </w:pPr>
    </w:p>
    <w:sectPr>
      <w:footerReference r:id="rId3" w:type="default"/>
      <w:footerReference r:id="rId4" w:type="even"/>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Arial Unicode MS"/>
    <w:panose1 w:val="03000509000000000000"/>
    <w:charset w:val="86"/>
    <w:family w:val="script"/>
    <w:pitch w:val="default"/>
    <w:sig w:usb0="00000001" w:usb1="080E0000" w:usb2="00000000" w:usb3="00000000" w:csb0="00040000" w:csb1="00000000"/>
  </w:font>
  <w:font w:name="方正仿宋简体">
    <w:altName w:val="Arial Unicode MS"/>
    <w:panose1 w:val="03000509000000000000"/>
    <w:charset w:val="86"/>
    <w:family w:val="script"/>
    <w:pitch w:val="default"/>
    <w:sig w:usb0="00000001" w:usb1="080E0000" w:usb2="00000000" w:usb3="00000000" w:csb0="00040000" w:csb1="00000000"/>
  </w:font>
  <w:font w:name="等线">
    <w:altName w:val="Arial Unicode MS"/>
    <w:panose1 w:val="00000000000000000000"/>
    <w:charset w:val="00"/>
    <w:family w:val="auto"/>
    <w:pitch w:val="default"/>
    <w:sig w:usb0="00000000" w:usb1="00000000" w:usb2="00000016" w:usb3="00000000" w:csb0="0004000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1" w:usb1="080E0000" w:usb2="00000000" w:usb3="00000000" w:csb0="00040000" w:csb1="00000000"/>
  </w:font>
  <w:font w:name="CESI仿宋-GB2312">
    <w:altName w:val="仿宋"/>
    <w:panose1 w:val="02000500000000000000"/>
    <w:charset w:val="86"/>
    <w:family w:val="auto"/>
    <w:pitch w:val="default"/>
    <w:sig w:usb0="800002AF" w:usb1="084F6CF8" w:usb2="00000010" w:usb3="00000000" w:csb0="0004000F"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831" w:wrap="around" w:vAnchor="text" w:hAnchor="page" w:x="8524" w:y="6"/>
      <w:jc w:val="center"/>
      <w:rPr>
        <w:rStyle w:val="12"/>
        <w:rFonts w:hint="eastAsia" w:ascii="宋体" w:eastAsia="宋体"/>
        <w:sz w:val="28"/>
        <w:szCs w:val="28"/>
      </w:rPr>
    </w:pPr>
    <w:r>
      <w:rPr>
        <w:rStyle w:val="12"/>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2"/>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2"/>
        <w:rFonts w:ascii="Times New Roman" w:hAnsi="Times New Roman" w:eastAsia="宋体" w:cs="Times New Roman"/>
        <w:sz w:val="28"/>
        <w:szCs w:val="28"/>
      </w:rPr>
      <w:t>1</w:t>
    </w:r>
    <w:r>
      <w:rPr>
        <w:rFonts w:ascii="Times New Roman" w:hAnsi="Times New Roman" w:eastAsia="宋体" w:cs="Times New Roman"/>
        <w:sz w:val="28"/>
        <w:szCs w:val="28"/>
      </w:rPr>
      <w:fldChar w:fldCharType="end"/>
    </w:r>
    <w:r>
      <w:rPr>
        <w:rStyle w:val="12"/>
        <w:rFonts w:hint="eastAsia" w:asci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817" w:wrap="around" w:vAnchor="text" w:hAnchor="margin" w:xAlign="outside" w:y="6"/>
      <w:jc w:val="center"/>
      <w:rPr>
        <w:rStyle w:val="12"/>
        <w:rFonts w:hint="eastAsia" w:ascii="宋体" w:eastAsia="宋体"/>
        <w:sz w:val="28"/>
        <w:szCs w:val="28"/>
      </w:rPr>
    </w:pPr>
    <w:r>
      <w:rPr>
        <w:rStyle w:val="12"/>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2"/>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2"/>
        <w:rFonts w:ascii="Times New Roman" w:hAnsi="Times New Roman" w:eastAsia="宋体" w:cs="Times New Roman"/>
        <w:sz w:val="28"/>
        <w:szCs w:val="28"/>
      </w:rPr>
      <w:t>2</w:t>
    </w:r>
    <w:r>
      <w:rPr>
        <w:rFonts w:ascii="Times New Roman" w:hAnsi="Times New Roman" w:eastAsia="宋体" w:cs="Times New Roman"/>
        <w:sz w:val="28"/>
        <w:szCs w:val="28"/>
      </w:rPr>
      <w:fldChar w:fldCharType="end"/>
    </w:r>
    <w:r>
      <w:rPr>
        <w:rStyle w:val="12"/>
        <w:rFonts w:hint="eastAsia" w:ascii="宋体" w:eastAsia="宋体"/>
        <w:sz w:val="28"/>
        <w:szCs w:val="28"/>
      </w:rPr>
      <w:t xml:space="preserve"> —</w:t>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2"/>
  <w:drawingGridVerticalSpacing w:val="3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101C5"/>
    <w:rsid w:val="098C52A6"/>
    <w:rsid w:val="0C2742FC"/>
    <w:rsid w:val="11DF2810"/>
    <w:rsid w:val="354A30C4"/>
    <w:rsid w:val="40D86016"/>
    <w:rsid w:val="53B9B215"/>
    <w:rsid w:val="5DEC1B03"/>
    <w:rsid w:val="612055B0"/>
    <w:rsid w:val="708475F9"/>
    <w:rsid w:val="70E864BF"/>
    <w:rsid w:val="72D3149E"/>
    <w:rsid w:val="757706A2"/>
    <w:rsid w:val="77DF1431"/>
    <w:rsid w:val="7F2FA78D"/>
    <w:rsid w:val="7FF7A8AB"/>
    <w:rsid w:val="9FA6F07F"/>
    <w:rsid w:val="BAED6734"/>
    <w:rsid w:val="F77FA05C"/>
    <w:rsid w:val="F7AFFCEB"/>
    <w:rsid w:val="FDCBB1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方正大标宋简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方正仿宋简体" w:hAnsi="宋体" w:eastAsia="方正仿宋简体" w:cs="宋体"/>
      <w:color w:val="000000"/>
      <w:sz w:val="32"/>
      <w:szCs w:val="32"/>
      <w:lang w:val="en-US" w:eastAsia="zh-CN" w:bidi="ar-SA"/>
    </w:rPr>
  </w:style>
  <w:style w:type="character" w:default="1" w:styleId="9">
    <w:name w:val="Default Paragraph Font"/>
    <w:link w:val="10"/>
    <w:uiPriority w:val="0"/>
  </w:style>
  <w:style w:type="table" w:default="1" w:styleId="8">
    <w:name w:val="Normal Table"/>
    <w:semiHidden/>
    <w:qFormat/>
    <w:uiPriority w:val="0"/>
    <w:tblPr>
      <w:tblStyle w:val="8"/>
      <w:tblCellMar>
        <w:top w:w="0" w:type="dxa"/>
        <w:left w:w="108" w:type="dxa"/>
        <w:bottom w:w="0" w:type="dxa"/>
        <w:right w:w="108" w:type="dxa"/>
      </w:tblCellMar>
    </w:tblPr>
  </w:style>
  <w:style w:type="paragraph" w:customStyle="1" w:styleId="2">
    <w:name w:val="样式2"/>
    <w:qFormat/>
    <w:uiPriority w:val="0"/>
    <w:pPr>
      <w:widowControl w:val="0"/>
      <w:spacing w:line="600" w:lineRule="exact"/>
      <w:ind w:right="-47" w:rightChars="-47" w:firstLine="200" w:firstLineChars="200"/>
    </w:pPr>
    <w:rPr>
      <w:rFonts w:ascii="Calibri" w:hAnsi="Calibri" w:eastAsia="宋体" w:cs="Times New Roman"/>
      <w:bCs/>
      <w:kern w:val="2"/>
      <w:sz w:val="32"/>
      <w:szCs w:val="28"/>
      <w:lang w:val="en-US" w:eastAsia="zh-CN" w:bidi="ar-SA"/>
    </w:rPr>
  </w:style>
  <w:style w:type="paragraph" w:styleId="3">
    <w:name w:val="Date"/>
    <w:basedOn w:val="1"/>
    <w:next w:val="1"/>
    <w:uiPriority w:val="0"/>
    <w:pPr>
      <w:ind w:left="2500" w:leftChars="2500"/>
    </w:p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uiPriority w:val="0"/>
    <w:pPr>
      <w:snapToGrid w:val="0"/>
      <w:jc w:val="center"/>
    </w:pPr>
    <w:rPr>
      <w:rFonts w:ascii="Times New Roman" w:hAnsi="Times New Roman" w:eastAsia="方正大标宋简体" w:cs="Times New Roman"/>
      <w:color w:val="auto"/>
      <w:kern w:val="2"/>
      <w:sz w:val="36"/>
      <w:szCs w:val="20"/>
    </w:rPr>
  </w:style>
  <w:style w:type="paragraph" w:customStyle="1" w:styleId="10">
    <w:name w:val="Char Char1"/>
    <w:basedOn w:val="1"/>
    <w:link w:val="9"/>
    <w:uiPriority w:val="0"/>
  </w:style>
  <w:style w:type="character" w:styleId="11">
    <w:name w:val="Strong"/>
    <w:basedOn w:val="9"/>
    <w:uiPriority w:val="0"/>
    <w:rPr>
      <w:b/>
      <w:bCs/>
    </w:rPr>
  </w:style>
  <w:style w:type="character" w:styleId="12">
    <w:name w:val="page number"/>
    <w:basedOn w:val="9"/>
    <w:uiPriority w:val="0"/>
  </w:style>
  <w:style w:type="paragraph" w:customStyle="1" w:styleId="13">
    <w:name w:val="p0"/>
    <w:basedOn w:val="1"/>
    <w:uiPriority w:val="0"/>
    <w:pPr>
      <w:widowControl/>
    </w:pPr>
    <w:rPr>
      <w:rFonts w:ascii="Times New Roman" w:hAnsi="Times New Roman" w:eastAsia="宋体" w:cs="Times New Roman"/>
      <w:color w:val="auto"/>
    </w:rPr>
  </w:style>
  <w:style w:type="paragraph" w:customStyle="1" w:styleId="14">
    <w:name w:val="Default"/>
    <w:qFormat/>
    <w:uiPriority w:val="0"/>
    <w:pPr>
      <w:widowControl w:val="0"/>
      <w:autoSpaceDE w:val="0"/>
      <w:autoSpaceDN w:val="0"/>
      <w:adjustRightInd w:val="0"/>
    </w:pPr>
    <w:rPr>
      <w:rFonts w:ascii="等线" w:hAnsi="Times New Roman" w:eastAsia="等线" w:cs="等线"/>
      <w:color w:val="000000"/>
      <w:sz w:val="24"/>
      <w:szCs w:val="24"/>
      <w:lang w:val="en-US" w:eastAsia="zh-CN" w:bidi="ar-SA"/>
    </w:rPr>
  </w:style>
  <w:style w:type="paragraph" w:customStyle="1" w:styleId="15">
    <w:name w:val="defaultcxspmiddle"/>
    <w:qFormat/>
    <w:uiPriority w:val="0"/>
    <w:pPr>
      <w:widowControl/>
      <w:spacing w:before="100" w:beforeAutospacing="1" w:after="100" w:afterAutospacing="1"/>
      <w:jc w:val="left"/>
    </w:pPr>
    <w:rPr>
      <w:rFonts w:ascii="宋体" w:hAnsi="宋体" w:eastAsia="宋体" w:cs="宋体"/>
      <w:kern w:val="0"/>
      <w:sz w:val="24"/>
      <w:szCs w:val="32"/>
      <w:lang w:val="en-US" w:eastAsia="zh-CN" w:bidi="ar-SA"/>
    </w:rPr>
  </w:style>
  <w:style w:type="paragraph" w:customStyle="1" w:styleId="16">
    <w:name w:val="Char"/>
    <w:basedOn w:val="1"/>
    <w:uiPriority w:val="0"/>
  </w:style>
  <w:style w:type="paragraph" w:customStyle="1" w:styleId="17">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18">
    <w:name w:val="defaultcxsplast"/>
    <w:qFormat/>
    <w:uiPriority w:val="0"/>
    <w:pPr>
      <w:widowControl/>
      <w:spacing w:before="100" w:beforeAutospacing="1" w:after="100" w:afterAutospacing="1"/>
      <w:jc w:val="left"/>
    </w:pPr>
    <w:rPr>
      <w:rFonts w:ascii="宋体" w:hAnsi="宋体" w:eastAsia="宋体" w:cs="宋体"/>
      <w:kern w:val="0"/>
      <w:sz w:val="24"/>
      <w:szCs w:val="32"/>
      <w:lang w:val="en-US" w:eastAsia="zh-CN" w:bidi="ar-SA"/>
    </w:rPr>
  </w:style>
  <w:style w:type="paragraph" w:customStyle="1" w:styleId="19">
    <w:name w:val="列表段落"/>
    <w:next w:val="3"/>
    <w:uiPriority w:val="0"/>
    <w:pPr>
      <w:ind w:firstLine="200" w:firstLineChars="200"/>
    </w:pPr>
    <w:rPr>
      <w:rFonts w:eastAsia="宋体"/>
      <w:sz w:val="24"/>
      <w:szCs w:val="24"/>
      <w:lang w:val="en-US" w:eastAsia="zh-CN" w:bidi="ar-SA"/>
    </w:rPr>
  </w:style>
  <w:style w:type="paragraph" w:customStyle="1" w:styleId="20">
    <w:name w:val="Char Char Char1 Char"/>
    <w:basedOn w:val="1"/>
    <w:uiPriority w:val="0"/>
    <w:pPr>
      <w:tabs>
        <w:tab w:val="left" w:pos="360"/>
      </w:tabs>
    </w:pPr>
    <w:rPr>
      <w:rFonts w:ascii="Calibri" w:hAnsi="Calibri" w:eastAsia="宋体" w:cs="黑体"/>
      <w:color w:val="auto"/>
      <w:kern w:val="2"/>
      <w:sz w:val="24"/>
      <w:szCs w:val="24"/>
    </w:rPr>
  </w:style>
  <w:style w:type="paragraph" w:customStyle="1" w:styleId="21">
    <w:name w:val="列出段落"/>
    <w:basedOn w:val="1"/>
    <w:uiPriority w:val="0"/>
    <w:pPr>
      <w:widowControl/>
      <w:adjustRightInd w:val="0"/>
      <w:snapToGrid w:val="0"/>
      <w:spacing w:after="200" w:afterLines="0"/>
      <w:ind w:firstLine="420" w:firstLineChars="200"/>
      <w:jc w:val="left"/>
    </w:pPr>
    <w:rPr>
      <w:rFonts w:ascii="Tahoma" w:hAnsi="Tahoma"/>
      <w:kern w:val="0"/>
      <w:sz w:val="32"/>
      <w:szCs w:val="32"/>
    </w:rPr>
  </w:style>
  <w:style w:type="paragraph" w:customStyle="1" w:styleId="22">
    <w:name w:val="列表段落1"/>
    <w:basedOn w:val="1"/>
    <w:uiPriority w:val="0"/>
    <w:pPr>
      <w:ind w:firstLine="420" w:firstLineChars="200"/>
    </w:pPr>
    <w:rPr>
      <w:rFonts w:ascii="Calibri" w:hAnsi="Calibri" w:eastAsia="宋体"/>
    </w:rPr>
  </w:style>
  <w:style w:type="paragraph" w:customStyle="1" w:styleId="23">
    <w:name w:val="msonormalcxspmiddle"/>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24">
    <w:name w:val="msonormalcxsplas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25">
    <w:name w:val="_Style 1"/>
    <w:basedOn w:val="1"/>
    <w:uiPriority w:val="0"/>
    <w:pPr>
      <w:widowControl/>
      <w:ind w:firstLine="200" w:firstLineChars="200"/>
      <w:jc w:val="left"/>
    </w:pPr>
    <w:rPr>
      <w:kern w:val="0"/>
      <w:sz w:val="24"/>
      <w:szCs w:val="24"/>
    </w:rPr>
  </w:style>
  <w:style w:type="paragraph" w:customStyle="1" w:styleId="26">
    <w:name w:val="List Paragraph"/>
    <w:basedOn w:val="1"/>
    <w:uiPriority w:val="0"/>
    <w:pPr>
      <w:ind w:firstLine="200" w:firstLineChars="200"/>
    </w:pPr>
  </w:style>
  <w:style w:type="paragraph" w:customStyle="1" w:styleId="27">
    <w:name w:val=" Char Char Char Char Char Char"/>
    <w:basedOn w:val="1"/>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5295</Words>
  <Characters>30186</Characters>
  <Lines>251</Lines>
  <Paragraphs>70</Paragraphs>
  <TotalTime>8.66666666666667</TotalTime>
  <ScaleCrop>false</ScaleCrop>
  <LinksUpToDate>false</LinksUpToDate>
  <CharactersWithSpaces>35411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2019-05-01T08:58:00Z</dcterms:created>
  <dc:creator>周福益</dc:creator>
  <cp:lastModifiedBy>dell</cp:lastModifiedBy>
  <cp:lastPrinted>2020-11-11T11:07:01Z</cp:lastPrinted>
  <dcterms:modified xsi:type="dcterms:W3CDTF">2020-11-30T02:28:26Z</dcterms:modified>
  <dc:title>厦门市人民代表大会常务委员会</dc:title>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