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jc w:val="center"/>
        <w:textAlignment w:val="auto"/>
        <w:rPr>
          <w:rFonts w:hint="eastAsia" w:ascii="Times New Roman" w:hAnsi="Times New Roman" w:eastAsia="仿宋_GB2312" w:cs="Times New Roman"/>
          <w:spacing w:val="-2"/>
          <w:sz w:val="32"/>
          <w:szCs w:val="32"/>
        </w:rPr>
      </w:pPr>
    </w:p>
    <w:p>
      <w:pPr>
        <w:spacing w:line="640" w:lineRule="exact"/>
        <w:jc w:val="center"/>
        <w:rPr>
          <w:rFonts w:hint="eastAsia" w:ascii="宋体" w:hAnsi="宋体" w:eastAsia="宋体" w:cs="宋体"/>
          <w:b/>
          <w:bCs w:val="0"/>
          <w:color w:val="000000"/>
          <w:sz w:val="44"/>
          <w:szCs w:val="44"/>
        </w:rPr>
      </w:pPr>
      <w:bookmarkStart w:id="0" w:name="_GoBack"/>
      <w:r>
        <w:rPr>
          <w:rFonts w:hint="eastAsia" w:ascii="宋体" w:hAnsi="宋体" w:eastAsia="宋体" w:cs="宋体"/>
          <w:b/>
          <w:bCs w:val="0"/>
          <w:color w:val="000000"/>
          <w:sz w:val="44"/>
          <w:szCs w:val="44"/>
        </w:rPr>
        <w:t>漳州市人民代表大会常务委员会关于</w:t>
      </w:r>
    </w:p>
    <w:p>
      <w:pPr>
        <w:spacing w:line="640" w:lineRule="exact"/>
        <w:jc w:val="center"/>
        <w:rPr>
          <w:rFonts w:hint="eastAsia" w:ascii="宋体" w:hAnsi="宋体" w:eastAsia="宋体" w:cs="宋体"/>
          <w:b/>
          <w:bCs w:val="0"/>
          <w:color w:val="000000"/>
          <w:sz w:val="44"/>
          <w:szCs w:val="44"/>
          <w:lang w:val="en"/>
        </w:rPr>
      </w:pPr>
      <w:r>
        <w:rPr>
          <w:rFonts w:hint="eastAsia" w:ascii="宋体" w:hAnsi="宋体" w:eastAsia="宋体" w:cs="宋体"/>
          <w:b/>
          <w:bCs w:val="0"/>
          <w:color w:val="000000"/>
          <w:sz w:val="44"/>
          <w:szCs w:val="44"/>
        </w:rPr>
        <w:t>修改《</w:t>
      </w:r>
      <w:r>
        <w:rPr>
          <w:rFonts w:hint="eastAsia" w:ascii="宋体" w:hAnsi="宋体" w:eastAsia="宋体" w:cs="宋体"/>
          <w:b/>
          <w:bCs w:val="0"/>
          <w:color w:val="000000"/>
          <w:sz w:val="44"/>
          <w:szCs w:val="44"/>
          <w:lang w:val="en"/>
        </w:rPr>
        <w:t>漳州市市容和环境卫生“门前三包”</w:t>
      </w:r>
    </w:p>
    <w:p>
      <w:pPr>
        <w:spacing w:line="640" w:lineRule="exact"/>
        <w:jc w:val="center"/>
        <w:rPr>
          <w:rFonts w:hint="eastAsia" w:ascii="宋体" w:hAnsi="宋体" w:eastAsia="宋体" w:cs="宋体"/>
          <w:b/>
          <w:bCs w:val="0"/>
          <w:color w:val="000000"/>
          <w:spacing w:val="-6"/>
          <w:sz w:val="44"/>
          <w:szCs w:val="44"/>
        </w:rPr>
      </w:pPr>
      <w:r>
        <w:rPr>
          <w:rFonts w:hint="eastAsia" w:ascii="宋体" w:hAnsi="宋体" w:eastAsia="宋体" w:cs="宋体"/>
          <w:b/>
          <w:bCs w:val="0"/>
          <w:color w:val="000000"/>
          <w:spacing w:val="-6"/>
          <w:sz w:val="44"/>
          <w:szCs w:val="44"/>
          <w:lang w:val="en"/>
        </w:rPr>
        <w:t>责任区管理若干规定</w:t>
      </w:r>
      <w:r>
        <w:rPr>
          <w:rFonts w:hint="eastAsia" w:ascii="宋体" w:hAnsi="宋体" w:eastAsia="宋体" w:cs="宋体"/>
          <w:b/>
          <w:bCs w:val="0"/>
          <w:color w:val="000000"/>
          <w:spacing w:val="-6"/>
          <w:sz w:val="44"/>
          <w:szCs w:val="44"/>
        </w:rPr>
        <w:t>》等四部地方性法规的决定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20" w:beforeLines="50" w:line="560" w:lineRule="exact"/>
        <w:jc w:val="center"/>
        <w:textAlignment w:val="auto"/>
        <w:rPr>
          <w:rFonts w:hint="eastAsia" w:ascii="楷体_GB2312" w:hAnsi="楷体_GB2312" w:eastAsia="楷体_GB2312" w:cs="楷体_GB2312"/>
          <w:bCs/>
          <w:color w:val="000000"/>
          <w:szCs w:val="20"/>
        </w:rPr>
      </w:pPr>
      <w:r>
        <w:rPr>
          <w:rFonts w:hint="eastAsia" w:ascii="楷体_GB2312" w:hAnsi="楷体_GB2312" w:eastAsia="楷体_GB2312" w:cs="楷体_GB2312"/>
          <w:bCs/>
          <w:color w:val="000000"/>
          <w:szCs w:val="20"/>
        </w:rPr>
        <w:t>（2021年10月28日漳州市第十六届人民代表大会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楷体_GB2312" w:hAnsi="楷体_GB2312" w:eastAsia="楷体_GB2312" w:cs="楷体_GB2312"/>
          <w:bCs/>
          <w:color w:val="000000"/>
          <w:szCs w:val="20"/>
        </w:rPr>
      </w:pPr>
      <w:r>
        <w:rPr>
          <w:rFonts w:hint="eastAsia" w:ascii="楷体_GB2312" w:hAnsi="楷体_GB2312" w:eastAsia="楷体_GB2312" w:cs="楷体_GB2312"/>
          <w:bCs/>
          <w:color w:val="000000"/>
          <w:szCs w:val="20"/>
        </w:rPr>
        <w:t>常务委员会第四十七次会议通过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楷体_GB2312" w:hAnsi="Times New Roman" w:eastAsia="楷体_GB2312" w:cs="Times New Roman"/>
          <w:sz w:val="32"/>
          <w:szCs w:val="32"/>
        </w:rPr>
      </w:pPr>
      <w:r>
        <w:rPr>
          <w:rFonts w:hint="eastAsia" w:ascii="楷体_GB2312" w:hAnsi="Times New Roman" w:eastAsia="楷体_GB2312" w:cs="Times New Roman"/>
          <w:sz w:val="32"/>
          <w:szCs w:val="32"/>
        </w:rPr>
        <w:t>20</w:t>
      </w:r>
      <w:r>
        <w:rPr>
          <w:rFonts w:hint="eastAsia" w:ascii="楷体_GB2312" w:hAnsi="Times New Roman" w:eastAsia="楷体_GB2312" w:cs="Times New Roman"/>
          <w:sz w:val="32"/>
          <w:szCs w:val="32"/>
          <w:lang w:val="en-US" w:eastAsia="zh-CN"/>
        </w:rPr>
        <w:t>21</w:t>
      </w:r>
      <w:r>
        <w:rPr>
          <w:rFonts w:hint="eastAsia" w:ascii="楷体_GB2312" w:hAnsi="Times New Roman" w:eastAsia="楷体_GB2312" w:cs="Times New Roman"/>
          <w:sz w:val="32"/>
          <w:szCs w:val="32"/>
        </w:rPr>
        <w:t>年</w:t>
      </w:r>
      <w:r>
        <w:rPr>
          <w:rFonts w:hint="eastAsia" w:ascii="楷体_GB2312" w:hAnsi="Times New Roman" w:eastAsia="楷体_GB2312" w:cs="Times New Roman"/>
          <w:sz w:val="32"/>
          <w:szCs w:val="32"/>
          <w:lang w:val="en-US" w:eastAsia="zh-CN"/>
        </w:rPr>
        <w:t>12</w:t>
      </w:r>
      <w:r>
        <w:rPr>
          <w:rFonts w:hint="eastAsia" w:ascii="楷体_GB2312" w:hAnsi="Times New Roman" w:eastAsia="楷体_GB2312" w:cs="Times New Roman"/>
          <w:sz w:val="32"/>
          <w:szCs w:val="32"/>
        </w:rPr>
        <w:t>月</w:t>
      </w:r>
      <w:r>
        <w:rPr>
          <w:rFonts w:hint="eastAsia" w:ascii="楷体_GB2312" w:hAnsi="Times New Roman" w:eastAsia="楷体_GB2312" w:cs="Times New Roman"/>
          <w:sz w:val="32"/>
          <w:szCs w:val="32"/>
          <w:lang w:val="en-US" w:eastAsia="zh-CN"/>
        </w:rPr>
        <w:t>15</w:t>
      </w:r>
      <w:r>
        <w:rPr>
          <w:rFonts w:hint="eastAsia" w:ascii="楷体_GB2312" w:hAnsi="Times New Roman" w:eastAsia="楷体_GB2312" w:cs="Times New Roman"/>
          <w:sz w:val="32"/>
          <w:szCs w:val="32"/>
        </w:rPr>
        <w:t>日福建省第十</w:t>
      </w:r>
      <w:r>
        <w:rPr>
          <w:rFonts w:hint="eastAsia" w:ascii="楷体_GB2312" w:hAnsi="Times New Roman" w:eastAsia="楷体_GB2312" w:cs="Times New Roman"/>
          <w:sz w:val="32"/>
          <w:szCs w:val="32"/>
          <w:lang w:eastAsia="zh-CN"/>
        </w:rPr>
        <w:t>三</w:t>
      </w:r>
      <w:r>
        <w:rPr>
          <w:rFonts w:hint="eastAsia" w:ascii="楷体_GB2312" w:hAnsi="Times New Roman" w:eastAsia="楷体_GB2312" w:cs="Times New Roman"/>
          <w:sz w:val="32"/>
          <w:szCs w:val="32"/>
        </w:rPr>
        <w:t>届人民代表大会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jc w:val="center"/>
        <w:textAlignment w:val="auto"/>
        <w:rPr>
          <w:rFonts w:hint="eastAsia" w:ascii="楷体_GB2312" w:hAnsi="楷体_GB2312" w:eastAsia="楷体_GB2312" w:cs="楷体_GB2312"/>
          <w:bCs/>
          <w:color w:val="000000"/>
          <w:szCs w:val="20"/>
        </w:rPr>
      </w:pPr>
      <w:r>
        <w:rPr>
          <w:rFonts w:hint="eastAsia" w:ascii="楷体_GB2312" w:hAnsi="Times New Roman" w:eastAsia="楷体_GB2312" w:cs="Times New Roman"/>
          <w:sz w:val="32"/>
          <w:szCs w:val="32"/>
        </w:rPr>
        <w:t>常务委员会第</w:t>
      </w:r>
      <w:r>
        <w:rPr>
          <w:rFonts w:hint="eastAsia" w:ascii="楷体_GB2312" w:hAnsi="Times New Roman" w:eastAsia="楷体_GB2312" w:cs="Times New Roman"/>
          <w:sz w:val="32"/>
          <w:szCs w:val="32"/>
          <w:lang w:val="en-US" w:eastAsia="zh-CN"/>
        </w:rPr>
        <w:t>三十</w:t>
      </w:r>
      <w:r>
        <w:rPr>
          <w:rFonts w:hint="eastAsia" w:ascii="楷体_GB2312" w:hAnsi="Times New Roman" w:eastAsia="楷体_GB2312" w:cs="Times New Roman"/>
          <w:sz w:val="32"/>
          <w:szCs w:val="32"/>
        </w:rPr>
        <w:t>次会议</w:t>
      </w:r>
      <w:r>
        <w:rPr>
          <w:rFonts w:hint="eastAsia" w:ascii="楷体_GB2312" w:hAnsi="Times New Roman" w:eastAsia="楷体_GB2312" w:cs="Times New Roman"/>
          <w:sz w:val="32"/>
          <w:szCs w:val="32"/>
          <w:lang w:eastAsia="zh-CN"/>
        </w:rPr>
        <w:t>批准</w:t>
      </w:r>
      <w:r>
        <w:rPr>
          <w:rFonts w:hint="eastAsia" w:ascii="楷体_GB2312" w:hAnsi="楷体_GB2312" w:eastAsia="楷体_GB2312" w:cs="楷体_GB2312"/>
          <w:bCs/>
          <w:color w:val="000000"/>
          <w:szCs w:val="20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bCs/>
          <w:color w:val="00000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Cs/>
          <w:color w:val="000000"/>
          <w:szCs w:val="20"/>
        </w:rPr>
      </w:pPr>
      <w:r>
        <w:rPr>
          <w:rFonts w:hint="eastAsia" w:ascii="仿宋_GB2312" w:hAnsi="仿宋_GB2312" w:eastAsia="仿宋_GB2312" w:cs="仿宋_GB2312"/>
          <w:bCs/>
          <w:color w:val="000000"/>
          <w:szCs w:val="20"/>
        </w:rPr>
        <w:t>为贯彻落实党中央决策部署,确保我市地方性法规与法律法规相一致,维护国家法制统一,保障《中华人民共和国固体废物污染环境防治法》《福建省水污染防治条例》在我市的有效实施，决定对《漳州市市容和环境卫生“门前三包”责任区管理若干规定》等四部地方性法规的部分条款予以修改。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textAlignment w:val="auto"/>
        <w:rPr>
          <w:rFonts w:hint="eastAsia" w:ascii="黑体" w:hAnsi="黑体" w:eastAsia="黑体" w:cs="黑体"/>
          <w:bCs/>
          <w:color w:val="000000"/>
          <w:szCs w:val="20"/>
        </w:rPr>
      </w:pPr>
      <w:r>
        <w:rPr>
          <w:rFonts w:hint="eastAsia" w:ascii="黑体" w:hAnsi="黑体" w:eastAsia="黑体" w:cs="黑体"/>
          <w:bCs/>
          <w:color w:val="000000"/>
          <w:szCs w:val="20"/>
        </w:rPr>
        <w:t>一、对《漳州市市容和环境卫生“门前三包”责任区管理若干规定》作如下修改：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Cs/>
          <w:color w:val="000000"/>
          <w:spacing w:val="-6"/>
          <w:szCs w:val="20"/>
        </w:rPr>
      </w:pPr>
      <w:r>
        <w:rPr>
          <w:rFonts w:hint="eastAsia" w:ascii="仿宋_GB2312" w:hAnsi="仿宋_GB2312" w:eastAsia="仿宋_GB2312" w:cs="仿宋_GB2312"/>
          <w:bCs/>
          <w:color w:val="000000"/>
          <w:szCs w:val="20"/>
        </w:rPr>
        <w:t>将第十八条第（四）项修改为：</w:t>
      </w:r>
      <w:r>
        <w:rPr>
          <w:rFonts w:hint="eastAsia" w:ascii="仿宋_GB2312" w:hAnsi="仿宋_GB2312" w:eastAsia="仿宋_GB2312" w:cs="仿宋_GB2312"/>
          <w:bCs/>
          <w:color w:val="000000"/>
          <w:spacing w:val="-6"/>
          <w:szCs w:val="20"/>
        </w:rPr>
        <w:t>“随意倾倒、抛撒、焚烧或者堆放生活垃圾的，对单位处五万元以上五十万元以下罚款，没收违法所得；对个人处一百元以上五百元以下罚款，没收违法所得；”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textAlignment w:val="auto"/>
        <w:rPr>
          <w:rFonts w:hint="eastAsia" w:ascii="黑体" w:hAnsi="黑体" w:eastAsia="黑体" w:cs="黑体"/>
          <w:bCs/>
          <w:color w:val="000000"/>
          <w:szCs w:val="20"/>
        </w:rPr>
      </w:pPr>
      <w:r>
        <w:rPr>
          <w:rFonts w:hint="eastAsia" w:ascii="黑体" w:hAnsi="黑体" w:eastAsia="黑体" w:cs="黑体"/>
          <w:bCs/>
          <w:color w:val="000000"/>
          <w:szCs w:val="20"/>
        </w:rPr>
        <w:t>二、对《漳州市生活垃圾管理办法》作如下修改：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Cs/>
          <w:color w:val="000000"/>
          <w:szCs w:val="20"/>
        </w:rPr>
      </w:pPr>
      <w:r>
        <w:rPr>
          <w:rFonts w:hint="eastAsia" w:ascii="仿宋_GB2312" w:hAnsi="仿宋_GB2312" w:eastAsia="仿宋_GB2312" w:cs="仿宋_GB2312"/>
          <w:bCs/>
          <w:color w:val="000000"/>
          <w:szCs w:val="20"/>
        </w:rPr>
        <w:t>1．将第十四条第三款修改为：“提倡消费者自行携带菜篮子或者购物袋，减少塑料、泡沫制品的使用。”；删除第三十一条的规定。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Cs/>
          <w:color w:val="000000"/>
          <w:szCs w:val="20"/>
        </w:rPr>
      </w:pPr>
      <w:r>
        <w:rPr>
          <w:rFonts w:hint="eastAsia" w:ascii="仿宋_GB2312" w:hAnsi="仿宋_GB2312" w:eastAsia="仿宋_GB2312" w:cs="仿宋_GB2312"/>
          <w:bCs/>
          <w:color w:val="000000"/>
          <w:szCs w:val="20"/>
        </w:rPr>
        <w:t>2</w:t>
      </w:r>
      <w:r>
        <w:rPr>
          <w:rFonts w:hint="eastAsia" w:ascii="仿宋_GB2312" w:hAnsi="仿宋_GB2312" w:eastAsia="仿宋_GB2312" w:cs="仿宋_GB2312"/>
          <w:bCs/>
          <w:color w:val="000000"/>
          <w:szCs w:val="20"/>
          <w:lang w:eastAsia="zh-CN"/>
        </w:rPr>
        <w:t>．</w:t>
      </w:r>
      <w:r>
        <w:rPr>
          <w:rFonts w:hint="eastAsia" w:ascii="仿宋_GB2312" w:hAnsi="仿宋_GB2312" w:eastAsia="仿宋_GB2312" w:cs="仿宋_GB2312"/>
          <w:bCs/>
          <w:color w:val="000000"/>
          <w:szCs w:val="20"/>
        </w:rPr>
        <w:t>将第三十二条修改为：“违反本办法第十七条第一款规定，未将生活垃圾分类投放到指定的收集容器或者收集场所的，由市人民政府城市管理主管部门或者住房和城乡建设主管部门、县级人民政府生活垃圾监督管理部门责令改正；情节严重的，对单位处五万元以上五十万元以下的罚款，对个人处一百元以上五百元以下的罚款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jc w:val="both"/>
        <w:textAlignment w:val="auto"/>
        <w:rPr>
          <w:rFonts w:ascii="仿宋_GB2312" w:hAnsi="仿宋_GB2312" w:eastAsia="仿宋_GB2312" w:cs="仿宋_GB2312"/>
          <w:bCs/>
          <w:kern w:val="2"/>
          <w:sz w:val="32"/>
          <w:szCs w:val="32"/>
        </w:rPr>
      </w:pPr>
      <w:r>
        <w:rPr>
          <w:rFonts w:ascii="仿宋_GB2312" w:hAnsi="仿宋_GB2312" w:eastAsia="仿宋_GB2312" w:cs="仿宋_GB2312"/>
          <w:bCs/>
          <w:kern w:val="2"/>
          <w:sz w:val="32"/>
          <w:szCs w:val="32"/>
        </w:rPr>
        <w:t>违反本办法第十七条第一款规定，随意倾倒、抛撒、焚烧或者堆放生活垃圾的，由市人民政府城市管理主管部门或者住房和城乡建设主管部门、县级人民政府生活垃圾监督管理部门责令改正，对单位处五万元以上五十万元以下的罚款，没收违法所得；对个人处一百元以上五百元以下的罚款，没收违法所得。”</w:t>
      </w:r>
    </w:p>
    <w:p>
      <w:pPr>
        <w:pStyle w:val="2"/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jc w:val="both"/>
        <w:textAlignment w:val="auto"/>
        <w:rPr>
          <w:rFonts w:hint="default" w:ascii="仿宋_GB2312" w:hAnsi="仿宋_GB2312" w:eastAsia="仿宋_GB2312" w:cs="仿宋_GB2312"/>
          <w:bCs/>
          <w:kern w:val="2"/>
          <w:sz w:val="32"/>
          <w:szCs w:val="32"/>
        </w:rPr>
      </w:pPr>
      <w:r>
        <w:rPr>
          <w:rFonts w:ascii="仿宋_GB2312" w:hAnsi="仿宋_GB2312" w:eastAsia="仿宋_GB2312" w:cs="仿宋_GB2312"/>
          <w:bCs/>
          <w:kern w:val="2"/>
          <w:sz w:val="32"/>
          <w:szCs w:val="32"/>
        </w:rPr>
        <w:t>3</w:t>
      </w:r>
      <w:r>
        <w:rPr>
          <w:rFonts w:hint="eastAsia" w:ascii="仿宋_GB2312" w:hAnsi="仿宋_GB2312" w:eastAsia="仿宋_GB2312" w:cs="仿宋_GB2312"/>
          <w:bCs/>
          <w:kern w:val="2"/>
          <w:sz w:val="32"/>
          <w:szCs w:val="32"/>
          <w:lang w:eastAsia="zh-CN"/>
        </w:rPr>
        <w:t>．</w:t>
      </w:r>
      <w:r>
        <w:rPr>
          <w:rFonts w:ascii="仿宋_GB2312" w:hAnsi="仿宋_GB2312" w:eastAsia="仿宋_GB2312" w:cs="仿宋_GB2312"/>
          <w:bCs/>
          <w:kern w:val="2"/>
          <w:sz w:val="32"/>
          <w:szCs w:val="32"/>
        </w:rPr>
        <w:t>将第三十六条修改为：“违反本办法第二十二条第三项规定，在运输生活垃圾过程中沿途随意倾倒、丢弃、遗撒、滴漏的，由市人民政府城市管理主管部门或者住房和城乡建设主管部门、县级人民政府生活垃圾监督管理部门责令改正，对单位处五万元以上五十万元以下的罚款，没收违法所得；对个人处一百元以上五百元以下的罚款，没收违法所得。”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textAlignment w:val="auto"/>
        <w:rPr>
          <w:rFonts w:hint="eastAsia" w:ascii="黑体" w:hAnsi="黑体" w:eastAsia="黑体" w:cs="黑体"/>
          <w:bCs/>
          <w:color w:val="000000"/>
          <w:szCs w:val="20"/>
        </w:rPr>
      </w:pPr>
      <w:r>
        <w:rPr>
          <w:rFonts w:hint="eastAsia" w:ascii="黑体" w:hAnsi="黑体" w:eastAsia="黑体" w:cs="黑体"/>
          <w:bCs/>
          <w:color w:val="000000"/>
          <w:szCs w:val="20"/>
        </w:rPr>
        <w:t>三、对《漳州市建筑垃圾管理办法》作如下修改：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Cs/>
          <w:color w:val="000000"/>
          <w:szCs w:val="20"/>
        </w:rPr>
      </w:pPr>
      <w:r>
        <w:rPr>
          <w:rFonts w:hint="eastAsia" w:ascii="仿宋_GB2312" w:hAnsi="仿宋_GB2312" w:eastAsia="仿宋_GB2312" w:cs="仿宋_GB2312"/>
          <w:bCs/>
          <w:color w:val="000000"/>
          <w:szCs w:val="20"/>
        </w:rPr>
        <w:t>1</w:t>
      </w:r>
      <w:r>
        <w:rPr>
          <w:rFonts w:hint="eastAsia" w:ascii="仿宋_GB2312" w:hAnsi="仿宋_GB2312" w:eastAsia="仿宋_GB2312" w:cs="仿宋_GB2312"/>
          <w:bCs/>
          <w:color w:val="000000"/>
          <w:szCs w:val="20"/>
          <w:lang w:eastAsia="zh-CN"/>
        </w:rPr>
        <w:t>．</w:t>
      </w:r>
      <w:r>
        <w:rPr>
          <w:rFonts w:hint="eastAsia" w:ascii="仿宋_GB2312" w:hAnsi="仿宋_GB2312" w:eastAsia="仿宋_GB2312" w:cs="仿宋_GB2312"/>
          <w:bCs/>
          <w:color w:val="000000"/>
          <w:szCs w:val="20"/>
        </w:rPr>
        <w:t>将第二十七条至第二十九条，第三十条第二款、第三款，第三十一条至第三十三条中的处罚主体“市人民政府城市管理主管部门”修改为“市、县人民政府城市管理主管部门”；将第三十条第一款中的处罚主体“市人民政府公安机关交通管理部门”修改为“市、县人民政府公安机关交通管理部门”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jc w:val="both"/>
        <w:textAlignment w:val="auto"/>
        <w:rPr>
          <w:rFonts w:ascii="仿宋_GB2312" w:hAnsi="仿宋_GB2312" w:eastAsia="仿宋_GB2312" w:cs="仿宋_GB2312"/>
          <w:bCs/>
          <w:sz w:val="32"/>
          <w:szCs w:val="32"/>
        </w:rPr>
      </w:pPr>
      <w:r>
        <w:rPr>
          <w:rFonts w:ascii="仿宋_GB2312" w:hAnsi="仿宋_GB2312" w:eastAsia="仿宋_GB2312" w:cs="仿宋_GB2312"/>
          <w:bCs/>
          <w:sz w:val="32"/>
          <w:szCs w:val="32"/>
        </w:rPr>
        <w:t>2</w:t>
      </w:r>
      <w:r>
        <w:rPr>
          <w:rFonts w:hint="eastAsia" w:ascii="仿宋_GB2312" w:hAnsi="仿宋_GB2312" w:eastAsia="仿宋_GB2312" w:cs="仿宋_GB2312"/>
          <w:bCs/>
          <w:sz w:val="32"/>
          <w:szCs w:val="32"/>
          <w:lang w:eastAsia="zh-CN"/>
        </w:rPr>
        <w:t>．</w:t>
      </w:r>
      <w:r>
        <w:rPr>
          <w:rFonts w:ascii="仿宋_GB2312" w:hAnsi="仿宋_GB2312" w:eastAsia="仿宋_GB2312" w:cs="仿宋_GB2312"/>
          <w:bCs/>
          <w:sz w:val="32"/>
          <w:szCs w:val="32"/>
        </w:rPr>
        <w:t>将第二十八条</w:t>
      </w:r>
      <w:r>
        <w:rPr>
          <w:rFonts w:ascii="仿宋_GB2312" w:hAnsi="仿宋_GB2312" w:eastAsia="仿宋_GB2312" w:cs="仿宋_GB2312"/>
          <w:bCs/>
          <w:kern w:val="2"/>
          <w:sz w:val="32"/>
          <w:szCs w:val="32"/>
        </w:rPr>
        <w:t>修改为：“违反本办法第十条第（二）项和第十一条第一款第（三）项规定，施工单位未及时清运工程施工中产生的建筑垃圾，由市、县人民政府城市管理主管部门责令改正，处十万元以上一百万元以下的罚款,没收违法所得。</w:t>
      </w:r>
      <w:r>
        <w:rPr>
          <w:rFonts w:ascii="仿宋_GB2312" w:hAnsi="仿宋_GB2312" w:eastAsia="仿宋_GB2312" w:cs="仿宋_GB2312"/>
          <w:bCs/>
          <w:sz w:val="32"/>
          <w:szCs w:val="32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textAlignment w:val="auto"/>
        <w:rPr>
          <w:rFonts w:hint="eastAsia" w:ascii="黑体" w:hAnsi="黑体" w:eastAsia="黑体" w:cs="黑体"/>
          <w:bCs/>
          <w:color w:val="000000"/>
          <w:szCs w:val="20"/>
        </w:rPr>
      </w:pPr>
      <w:r>
        <w:rPr>
          <w:rFonts w:hint="eastAsia" w:ascii="黑体" w:hAnsi="黑体" w:eastAsia="黑体" w:cs="黑体"/>
          <w:bCs/>
          <w:color w:val="000000"/>
          <w:szCs w:val="20"/>
        </w:rPr>
        <w:t>四、对《漳州市饮用水水源保护办法》作如下修改：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Cs/>
          <w:color w:val="000000"/>
          <w:szCs w:val="20"/>
        </w:rPr>
      </w:pPr>
      <w:r>
        <w:rPr>
          <w:rFonts w:hint="eastAsia" w:ascii="仿宋_GB2312" w:hAnsi="仿宋_GB2312" w:eastAsia="仿宋_GB2312" w:cs="仿宋_GB2312"/>
          <w:bCs/>
          <w:color w:val="000000"/>
          <w:szCs w:val="20"/>
          <w:lang w:val="en"/>
        </w:rPr>
        <w:t>将第三条第三款修改为：“</w:t>
      </w:r>
      <w:r>
        <w:rPr>
          <w:rFonts w:hint="eastAsia" w:ascii="仿宋_GB2312" w:hAnsi="仿宋_GB2312" w:eastAsia="仿宋_GB2312" w:cs="仿宋_GB2312"/>
          <w:bCs/>
          <w:color w:val="000000"/>
          <w:szCs w:val="20"/>
        </w:rPr>
        <w:t>对尚未列入饮用水水源保护区范围的城镇供水、农村自备集中式和分散式饮用水水源划定保护范围。保护范围的划定、调整或者取消，由饮用水水源所在地县级人民政府确定。跨县（市、区）饮用水水源保护范围的划定、调整或者取消，由市人民政府确定。</w:t>
      </w:r>
      <w:r>
        <w:rPr>
          <w:rFonts w:hint="eastAsia" w:ascii="仿宋_GB2312" w:hAnsi="仿宋_GB2312" w:eastAsia="仿宋_GB2312" w:cs="仿宋_GB2312"/>
          <w:bCs/>
          <w:color w:val="000000"/>
          <w:szCs w:val="20"/>
          <w:lang w:val="e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Cs/>
          <w:color w:val="000000"/>
          <w:szCs w:val="20"/>
        </w:rPr>
      </w:pPr>
      <w:r>
        <w:rPr>
          <w:rFonts w:hint="eastAsia" w:ascii="仿宋_GB2312" w:hAnsi="仿宋_GB2312" w:eastAsia="仿宋_GB2312" w:cs="仿宋_GB2312"/>
          <w:bCs/>
          <w:color w:val="000000"/>
          <w:szCs w:val="20"/>
        </w:rPr>
        <w:t>本决定自公布之日起施行。</w:t>
      </w:r>
    </w:p>
    <w:p>
      <w:r>
        <w:rPr>
          <w:rFonts w:hint="eastAsia" w:ascii="仿宋_GB2312" w:hAnsi="仿宋_GB2312" w:eastAsia="仿宋_GB2312" w:cs="仿宋_GB2312"/>
          <w:bCs/>
          <w:color w:val="000000"/>
          <w:szCs w:val="20"/>
        </w:rPr>
        <w:t>《漳州市市容和环境卫生“门前三包”责任区管理若干规定》《漳州市生活垃圾管理办法》《漳州市建筑垃圾管理办法》《漳</w:t>
      </w:r>
      <w:r>
        <w:rPr>
          <w:rFonts w:hint="eastAsia" w:ascii="仿宋_GB2312" w:hAnsi="仿宋_GB2312" w:eastAsia="仿宋_GB2312" w:cs="仿宋_GB2312"/>
          <w:bCs/>
          <w:color w:val="000000"/>
          <w:spacing w:val="-4"/>
          <w:szCs w:val="20"/>
        </w:rPr>
        <w:t>州市饮用水水源保护办法》根据本决定作相应修改后，重新公布。</w:t>
      </w:r>
    </w:p>
    <w:sectPr>
      <w:pgSz w:w="11906" w:h="16838"/>
      <w:pgMar w:top="2098" w:right="1531" w:bottom="2098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51572B"/>
    <w:rsid w:val="012F4700"/>
    <w:rsid w:val="0651572B"/>
    <w:rsid w:val="06B86973"/>
    <w:rsid w:val="07E9272A"/>
    <w:rsid w:val="0FE4317D"/>
    <w:rsid w:val="17405068"/>
    <w:rsid w:val="1D2E6B67"/>
    <w:rsid w:val="1D780262"/>
    <w:rsid w:val="3ED62D0D"/>
    <w:rsid w:val="452F0859"/>
    <w:rsid w:val="47A30F0C"/>
    <w:rsid w:val="491E4B2A"/>
    <w:rsid w:val="5DFE1E05"/>
    <w:rsid w:val="63D65503"/>
    <w:rsid w:val="63D735DA"/>
    <w:rsid w:val="6D7E52B1"/>
    <w:rsid w:val="6E6706B0"/>
    <w:rsid w:val="7149250D"/>
    <w:rsid w:val="79DF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widowControl w:val="0"/>
      <w:jc w:val="both"/>
    </w:pPr>
    <w:rPr>
      <w:rFonts w:ascii="Garamond" w:hAnsi="Garamond" w:eastAsia="仿宋" w:cs="Times New Roman"/>
      <w:kern w:val="2"/>
      <w:sz w:val="32"/>
      <w:szCs w:val="24"/>
      <w:lang w:val="en-US" w:eastAsia="zh-CN" w:bidi="ar-SA"/>
    </w:rPr>
  </w:style>
  <w:style w:type="paragraph" w:styleId="3">
    <w:name w:val="heading 2"/>
    <w:basedOn w:val="1"/>
    <w:next w:val="1"/>
    <w:uiPriority w:val="0"/>
    <w:pPr>
      <w:keepNext/>
      <w:keepLines/>
      <w:tabs>
        <w:tab w:val="left" w:pos="420"/>
      </w:tabs>
      <w:spacing w:before="100" w:beforeLines="100" w:beforeAutospacing="0" w:afterLines="0" w:afterAutospacing="0" w:line="240" w:lineRule="auto"/>
      <w:ind w:left="624" w:leftChars="200" w:right="624" w:rightChars="200" w:firstLine="0" w:firstLineChars="0"/>
      <w:outlineLvl w:val="1"/>
    </w:pPr>
    <w:rPr>
      <w:rFonts w:ascii="Arial" w:hAnsi="Arial" w:eastAsia="楷体_GB2312" w:cs="Times New Roma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方正仿宋_GBK" w:hAnsi="方正仿宋_GBK" w:eastAsia="方正仿宋_GBK" w:cs="Times New Roman"/>
      <w:color w:val="000000"/>
      <w:sz w:val="24"/>
      <w:szCs w:val="22"/>
      <w:lang w:val="en-US" w:eastAsia="zh-CN" w:bidi="ar-SA"/>
    </w:r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character" w:styleId="7">
    <w:name w:val="Hyperlink"/>
    <w:qFormat/>
    <w:uiPriority w:val="0"/>
    <w:rPr>
      <w:rFonts w:ascii="Calibri" w:hAnsi="Calibri" w:eastAsia="宋体" w:cs="Times New Roman"/>
      <w:color w:val="000000"/>
      <w:u w:val="none"/>
    </w:rPr>
  </w:style>
  <w:style w:type="paragraph" w:customStyle="1" w:styleId="8">
    <w:name w:val="样式2"/>
    <w:basedOn w:val="1"/>
    <w:next w:val="4"/>
    <w:qFormat/>
    <w:uiPriority w:val="0"/>
    <w:pPr>
      <w:spacing w:line="600" w:lineRule="exact"/>
      <w:ind w:right="-47" w:rightChars="-47" w:firstLine="200" w:firstLineChars="200"/>
      <w:jc w:val="left"/>
    </w:pPr>
    <w:rPr>
      <w:rFonts w:ascii="Calibri" w:hAnsi="Calibri" w:eastAsia="宋体"/>
      <w:bCs/>
      <w:kern w:val="2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2021-12-28T08:34:00Z</dcterms:created>
  <dc:creator>文印室</dc:creator>
  <cp:lastModifiedBy>文印室</cp:lastModifiedBy>
  <dcterms:modified xsi:type="dcterms:W3CDTF">2021-12-28T08:42:16Z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