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eastAsia" w:ascii="方正小标宋_GBK" w:hAnsi="方正小标宋_GBK" w:eastAsia="方正小标宋_GBK" w:cs="方正小标宋_GBK"/>
          <w:sz w:val="44"/>
          <w:szCs w:val="44"/>
          <w:lang w:val="en-US" w:eastAsia="zh-CN"/>
        </w:rPr>
      </w:pPr>
      <w:r>
        <w:rPr>
          <w:rFonts w:hint="eastAsia" w:ascii="仿宋_GB2312" w:hAnsi="宋体" w:eastAsia="仿宋_GB2312" w:cs="仿宋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福州市人民代表大会常务委员会关于</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加强闽江流域水生态环境协同保护的决定</w:t>
      </w:r>
    </w:p>
    <w:p>
      <w:pPr>
        <w:keepNext w:val="0"/>
        <w:keepLines w:val="0"/>
        <w:pageBreakBefore w:val="0"/>
        <w:widowControl w:val="0"/>
        <w:kinsoku/>
        <w:wordWrap/>
        <w:overflowPunct/>
        <w:topLinePunct w:val="0"/>
        <w:autoSpaceDE/>
        <w:autoSpaceDN/>
        <w:bidi w:val="0"/>
        <w:adjustRightInd/>
        <w:snapToGrid/>
        <w:spacing w:before="220" w:beforeLines="50"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vertAlign w:val="baseline"/>
          <w:lang w:eastAsia="zh-CN"/>
        </w:rPr>
      </w:pPr>
      <w:r>
        <w:rPr>
          <w:rFonts w:hint="eastAsia" w:ascii="楷体_GB2312" w:hAnsi="楷体_GB2312" w:eastAsia="楷体_GB2312" w:cs="楷体_GB2312"/>
          <w:spacing w:val="0"/>
          <w:sz w:val="32"/>
          <w:vertAlign w:val="baseline"/>
          <w:lang w:eastAsia="zh-CN"/>
        </w:rPr>
        <w:t>（</w:t>
      </w:r>
      <w:r>
        <w:rPr>
          <w:rFonts w:hint="eastAsia" w:ascii="楷体_GB2312" w:hAnsi="楷体_GB2312" w:eastAsia="楷体_GB2312" w:cs="楷体_GB2312"/>
          <w:spacing w:val="0"/>
          <w:sz w:val="32"/>
          <w:vertAlign w:val="baseline"/>
          <w:lang w:val="en-US"/>
        </w:rPr>
        <w:t>20</w:t>
      </w:r>
      <w:r>
        <w:rPr>
          <w:rFonts w:hint="eastAsia" w:ascii="楷体_GB2312" w:hAnsi="楷体_GB2312" w:eastAsia="楷体_GB2312" w:cs="楷体_GB2312"/>
          <w:spacing w:val="0"/>
          <w:sz w:val="32"/>
          <w:vertAlign w:val="baseline"/>
          <w:lang w:val="en-US" w:eastAsia="zh-CN"/>
        </w:rPr>
        <w:t>22</w:t>
      </w:r>
      <w:r>
        <w:rPr>
          <w:rFonts w:hint="eastAsia" w:ascii="楷体_GB2312" w:hAnsi="楷体_GB2312" w:eastAsia="楷体_GB2312" w:cs="楷体_GB2312"/>
          <w:spacing w:val="0"/>
          <w:sz w:val="32"/>
          <w:vertAlign w:val="baseline"/>
          <w:lang w:eastAsia="zh-CN"/>
        </w:rPr>
        <w:t>年</w:t>
      </w:r>
      <w:r>
        <w:rPr>
          <w:rFonts w:hint="eastAsia" w:ascii="楷体_GB2312" w:hAnsi="楷体_GB2312" w:eastAsia="楷体_GB2312" w:cs="楷体_GB2312"/>
          <w:spacing w:val="0"/>
          <w:sz w:val="32"/>
          <w:vertAlign w:val="baseline"/>
          <w:lang w:val="en-US" w:eastAsia="zh-CN"/>
        </w:rPr>
        <w:t>6月29日</w:t>
      </w:r>
      <w:r>
        <w:rPr>
          <w:rFonts w:hint="eastAsia" w:ascii="楷体_GB2312" w:hAnsi="楷体_GB2312" w:eastAsia="楷体_GB2312" w:cs="楷体_GB2312"/>
          <w:spacing w:val="0"/>
          <w:sz w:val="32"/>
          <w:vertAlign w:val="baseline"/>
          <w:lang w:eastAsia="zh-CN"/>
        </w:rPr>
        <w:t>福州市第十六届人民代表大会常务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spacing w:val="0"/>
          <w:sz w:val="32"/>
          <w:vertAlign w:val="baseline"/>
          <w:lang w:eastAsia="zh-CN"/>
        </w:rPr>
        <w:t>委员会第三次会议通过</w:t>
      </w:r>
      <w:r>
        <w:rPr>
          <w:rFonts w:hint="eastAsia" w:ascii="楷体_GB2312" w:hAnsi="楷体_GB2312" w:eastAsia="楷体_GB2312" w:cs="楷体_GB2312"/>
          <w:spacing w:val="0"/>
          <w:sz w:val="32"/>
          <w:vertAlign w:val="baseline"/>
          <w:lang w:val="en-US" w:eastAsia="zh-CN"/>
        </w:rPr>
        <w:t xml:space="preserve">  </w:t>
      </w:r>
      <w:r>
        <w:rPr>
          <w:rFonts w:hint="eastAsia" w:ascii="楷体_GB2312" w:hAnsi="楷体_GB2312" w:eastAsia="楷体_GB2312" w:cs="楷体_GB2312"/>
          <w:lang w:val="en-US" w:eastAsia="zh-CN"/>
        </w:rPr>
        <w:t>2022年9月28日福建省第十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lang w:val="en-US" w:eastAsia="zh-CN"/>
        </w:rPr>
        <w:t>三届人民代表大会常务委员会第三十五次会议批准</w:t>
      </w:r>
      <w:r>
        <w:rPr>
          <w:rFonts w:hint="eastAsia" w:ascii="楷体_GB2312" w:hAnsi="楷体_GB2312" w:eastAsia="楷体_GB2312" w:cs="楷体_GB2312"/>
          <w:spacing w:val="0"/>
          <w:sz w:val="32"/>
          <w:vertAlign w:val="baseline"/>
          <w:lang w:eastAsia="zh-CN"/>
        </w:rPr>
        <w:t>）</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default"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val="en-US" w:eastAsia="zh-CN"/>
        </w:rPr>
        <w:t>为了深入贯彻</w:t>
      </w:r>
      <w:bookmarkStart w:id="0" w:name="_GoBack"/>
      <w:bookmarkEnd w:id="0"/>
      <w:r>
        <w:rPr>
          <w:rFonts w:hint="eastAsia" w:ascii="仿宋_GB2312" w:hAnsi="仿宋_GB2312" w:eastAsia="仿宋_GB2312" w:cs="仿宋_GB2312"/>
          <w:spacing w:val="0"/>
          <w:sz w:val="32"/>
          <w:szCs w:val="32"/>
          <w:lang w:val="en-US" w:eastAsia="zh-CN"/>
        </w:rPr>
        <w:t>习近平生态文明思想，坚持“3820”战略工程思想精髓，深化国家生态文明试验区建设，持续保护和改善闽江流域水生态环境，推进流域水生态环境跨行政区域协同保护，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一、市人民政府与</w:t>
      </w:r>
      <w:r>
        <w:rPr>
          <w:rFonts w:hint="eastAsia" w:ascii="仿宋_GB2312" w:hAnsi="仿宋_GB2312" w:eastAsia="仿宋_GB2312" w:cs="仿宋_GB2312"/>
          <w:spacing w:val="0"/>
          <w:sz w:val="32"/>
          <w:szCs w:val="32"/>
          <w:lang w:eastAsia="zh-CN"/>
        </w:rPr>
        <w:t>南平、三明、宁德、泉州、龙岩、莆田市人民政府</w:t>
      </w:r>
      <w:r>
        <w:rPr>
          <w:rFonts w:hint="eastAsia" w:ascii="仿宋_GB2312" w:hAnsi="仿宋_GB2312" w:eastAsia="仿宋_GB2312" w:cs="仿宋_GB2312"/>
          <w:spacing w:val="0"/>
          <w:sz w:val="32"/>
          <w:szCs w:val="32"/>
          <w:lang w:val="en-US" w:eastAsia="zh-CN"/>
        </w:rPr>
        <w:t>建立闽江流域水生态环境跨行政区域协同保护机制，按照生态优先、科学规划、统筹协调、跨域联动、综合施策的要求，坚持共同抓好大保护、协同推进大治理，加强上下游联动、干支流统筹、左右岸合力，采取统一规划、统一标准、统一监测、统一防治措施，实现水环境质量明显改善、水生态功能显著提升，促进流域水生态环境与经济社会共生发展。</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二、市人民政府与</w:t>
      </w:r>
      <w:r>
        <w:rPr>
          <w:rFonts w:hint="eastAsia" w:ascii="仿宋_GB2312" w:hAnsi="仿宋_GB2312" w:eastAsia="仿宋_GB2312" w:cs="仿宋_GB2312"/>
          <w:spacing w:val="0"/>
          <w:sz w:val="32"/>
          <w:szCs w:val="32"/>
          <w:lang w:eastAsia="zh-CN"/>
        </w:rPr>
        <w:t>南平、三明、宁德、泉州、龙岩、莆田市人民政府</w:t>
      </w:r>
      <w:r>
        <w:rPr>
          <w:rFonts w:hint="eastAsia" w:ascii="仿宋_GB2312" w:hAnsi="仿宋_GB2312" w:eastAsia="仿宋_GB2312" w:cs="仿宋_GB2312"/>
          <w:spacing w:val="0"/>
          <w:sz w:val="32"/>
          <w:szCs w:val="32"/>
          <w:lang w:val="en-US" w:eastAsia="zh-CN"/>
        </w:rPr>
        <w:t>建立健全闽江流域水生态环境保护联席会议制度，统筹协调流域水生态环境保护重大事项，共同协商解决流域水生态环境保护重大问题，推动流域水生态环境跨行政区域协同保护。</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本市制定地方性法规、政府规章和市政府规范性文件，涉及闽江流域水生态环境保护的，应当与南平、三明、宁德、泉州、龙岩、莆田市进行沟通协商，在制度设计、机制建立及其实施等方面加强协调，构建规范、统一、有效的水生态环境协同保护的法治体系。</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本市在编制涉及闽江流域水生态环境保护相关专项规划时，应当严格落实国家和省有关规划和管控要求，加强与南平、三明、宁德、泉州、龙岩、莆田市沟通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五、市人民政府及其有关部门与南平、三明、宁德、泉州、龙岩、莆田市人民政府及其有关部门健全闽江流域水生态环境信息共享系统，推进流域水生态环境、资源、自然灾害等数据互通共享。</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六、市人民政府与南平、三明、宁德、泉州、龙岩、莆田市人民政府建立闽江流域联合河湖长制，联合会商跨行政区域河湖保护问题，定期开展联合巡查工作，共同承担管理保护责任。</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市人民政府与南平、三明、宁德、泉州、龙岩、莆田市人民政府建立健全闽江流域水生态环境联合预防预警和协同处置机制，发生台风、洪水暴发等自然灾害以及水污染事件等突发情况，及时互相通报流域水情，协同采取应急预防和处置措施。</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市人民政府与南平、三明、宁德、泉州、龙岩、莆田市人民政府落实省人民政府及其相关部门关于闽江流域上下游生态保护补偿机制，调动各方参与水生态环境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市水行政、生态环境等主管部门与南平、三明、宁德、泉州、龙岩、莆田市有关部门，严格执行省人民政府及其相关部门关于闽江流域生态流量调度的标准和规范，加强生态下泄流量的监督，保障流域生态流量。</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市生态环境、水行政等主管部门与南平、三明、宁德、泉州、龙岩、莆田市有关部门，建立健全闽江流域水环境质量监测、水污染物排放监测、水文监测等监测网络体系，加强排污口、污染源等水质监测，进行预警预报会商。</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市生态环境、城乡建设等主管部门与南平、三明、宁德、泉州、龙岩、莆田市有关部门，加强闽江流域跨行政区域水污染联防联控，统筹流域城乡污水集中处理设施以及配套管网建设，提高城乡污水收集处理能力。</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11"/>
          <w:sz w:val="32"/>
          <w:szCs w:val="32"/>
          <w:lang w:val="en-US" w:eastAsia="zh-CN"/>
        </w:rPr>
      </w:pPr>
      <w:r>
        <w:rPr>
          <w:rFonts w:hint="eastAsia" w:ascii="仿宋_GB2312" w:hAnsi="仿宋_GB2312" w:eastAsia="仿宋_GB2312" w:cs="仿宋_GB2312"/>
          <w:spacing w:val="0"/>
          <w:sz w:val="32"/>
          <w:szCs w:val="32"/>
          <w:lang w:val="en-US" w:eastAsia="zh-CN"/>
        </w:rPr>
        <w:t>十二、</w:t>
      </w:r>
      <w:r>
        <w:rPr>
          <w:rFonts w:hint="eastAsia" w:ascii="仿宋_GB2312" w:hAnsi="仿宋_GB2312" w:eastAsia="仿宋_GB2312" w:cs="仿宋_GB2312"/>
          <w:spacing w:val="-11"/>
          <w:sz w:val="32"/>
          <w:szCs w:val="32"/>
          <w:lang w:val="en-US" w:eastAsia="zh-CN"/>
        </w:rPr>
        <w:t>市生态环境、水行政、交通等主管部门与南平、三明、宁德、泉州、龙岩、莆田市有关部门，完善闽江流域跨行政区域、生态敏感区域以及重大违法案件的执法程序、裁量基准和处罚标准。</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三、本市司法机关与南平、三明、宁德、泉州、龙岩、莆田市同级司法机关加强闽江流域水生态环境保护司法协作，共同预防和惩治破坏流域水生态环境犯罪活动，支持流域水生态环境保护公益诉讼，维护水生态环境公共利益。</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四、市人民代表大会常务委员会与南平、三明、宁德、泉州、龙岩、莆田市人民代表大会常务委员会建立监督协作机制，协同定期开展执法检查、视察、调研等活动，加强对贯彻执行生态环境法律法规和本决定实施情况的监督。</w:t>
      </w:r>
    </w:p>
    <w:p>
      <w:pPr>
        <w:keepNext w:val="0"/>
        <w:keepLines w:val="0"/>
        <w:pageBreakBefore w:val="0"/>
        <w:widowControl w:val="0"/>
        <w:kinsoku/>
        <w:wordWrap/>
        <w:overflowPunct/>
        <w:topLinePunct w:val="0"/>
        <w:autoSpaceDE/>
        <w:autoSpaceDN/>
        <w:bidi w:val="0"/>
        <w:adjustRightInd/>
        <w:snapToGrid/>
        <w:spacing w:line="560" w:lineRule="exact"/>
        <w:ind w:firstLine="641"/>
        <w:textAlignment w:val="auto"/>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五、本市各国家机关和有关方面应当积极宣传闽江流域水生态环境协同保护的政策举措，充分利用报刊、电视、广播、互联网等媒体，广泛动员社会各方力量，群策群力、群防群治，引导全社会增强法治意识、生态意识、环保意识，营造闽江流域水生态环境保护的良好社会氛围。</w:t>
      </w:r>
    </w:p>
    <w:p>
      <w:pPr>
        <w:pStyle w:val="20"/>
        <w:keepNext w:val="0"/>
        <w:keepLines w:val="0"/>
        <w:pageBreakBefore w:val="0"/>
        <w:widowControl w:val="0"/>
        <w:kinsoku/>
        <w:wordWrap/>
        <w:overflowPunct/>
        <w:topLinePunct w:val="0"/>
        <w:autoSpaceDE/>
        <w:autoSpaceDN/>
        <w:bidi w:val="0"/>
        <w:adjustRightInd w:val="0"/>
        <w:snapToGrid/>
        <w:spacing w:line="560" w:lineRule="exact"/>
        <w:ind w:right="1280" w:rightChars="400" w:firstLine="640" w:firstLineChars="200"/>
        <w:jc w:val="both"/>
        <w:textAlignment w:val="auto"/>
        <w:rPr>
          <w:rFonts w:hint="default" w:ascii="黑体" w:hAnsi="黑体" w:eastAsia="黑体" w:cs="黑体"/>
          <w:sz w:val="32"/>
          <w:szCs w:val="32"/>
          <w:lang w:val="en-US" w:eastAsia="zh-CN"/>
        </w:rPr>
      </w:pPr>
      <w:r>
        <w:rPr>
          <w:rFonts w:hint="eastAsia" w:ascii="仿宋_GB2312" w:hAnsi="仿宋_GB2312" w:eastAsia="仿宋_GB2312" w:cs="仿宋_GB2312"/>
          <w:spacing w:val="0"/>
          <w:sz w:val="32"/>
          <w:szCs w:val="32"/>
          <w:lang w:val="en-US" w:eastAsia="zh-CN"/>
        </w:rPr>
        <w:t>十六、本决定自公布之日起施行。</w:t>
      </w:r>
    </w:p>
    <w:p>
      <w:pPr>
        <w:keepNext w:val="0"/>
        <w:keepLines w:val="0"/>
        <w:pageBreakBefore w:val="0"/>
        <w:widowControl w:val="0"/>
        <w:tabs>
          <w:tab w:val="left" w:pos="7560"/>
          <w:tab w:val="left" w:pos="7920"/>
        </w:tabs>
        <w:kinsoku/>
        <w:wordWrap w:val="0"/>
        <w:overflowPunct/>
        <w:topLinePunct w:val="0"/>
        <w:autoSpaceDE/>
        <w:autoSpaceDN/>
        <w:bidi w:val="0"/>
        <w:adjustRightInd/>
        <w:snapToGrid/>
        <w:spacing w:line="560" w:lineRule="exact"/>
        <w:ind w:right="22" w:rightChars="7"/>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0FD22F73"/>
    <w:rsid w:val="106A0860"/>
    <w:rsid w:val="11CA42BF"/>
    <w:rsid w:val="11DB3BC7"/>
    <w:rsid w:val="13627167"/>
    <w:rsid w:val="141E1FEA"/>
    <w:rsid w:val="14A85100"/>
    <w:rsid w:val="14BC2210"/>
    <w:rsid w:val="150053B4"/>
    <w:rsid w:val="1674344E"/>
    <w:rsid w:val="1B29246B"/>
    <w:rsid w:val="1C534715"/>
    <w:rsid w:val="1C9D2956"/>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7F35F16"/>
    <w:rsid w:val="38CC309F"/>
    <w:rsid w:val="3A1622AC"/>
    <w:rsid w:val="3BFE65C5"/>
    <w:rsid w:val="3D2C6034"/>
    <w:rsid w:val="3F7B2D77"/>
    <w:rsid w:val="3FA46663"/>
    <w:rsid w:val="413D6D29"/>
    <w:rsid w:val="41732B5F"/>
    <w:rsid w:val="423069FA"/>
    <w:rsid w:val="43BD3F57"/>
    <w:rsid w:val="44321CAE"/>
    <w:rsid w:val="46464C89"/>
    <w:rsid w:val="46F005B5"/>
    <w:rsid w:val="49281E8A"/>
    <w:rsid w:val="4C9C31D4"/>
    <w:rsid w:val="4D7F11A7"/>
    <w:rsid w:val="4DED41E4"/>
    <w:rsid w:val="4F55420C"/>
    <w:rsid w:val="4FD55B4A"/>
    <w:rsid w:val="4FFC7119"/>
    <w:rsid w:val="50E4270A"/>
    <w:rsid w:val="514344C5"/>
    <w:rsid w:val="51664AEA"/>
    <w:rsid w:val="537E0A87"/>
    <w:rsid w:val="559C38E9"/>
    <w:rsid w:val="564D5180"/>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6FF6A72"/>
    <w:rsid w:val="77BA047C"/>
    <w:rsid w:val="78D70437"/>
    <w:rsid w:val="79DE5089"/>
    <w:rsid w:val="7B6D1F22"/>
    <w:rsid w:val="7B8D4719"/>
    <w:rsid w:val="7C9E3545"/>
    <w:rsid w:val="7E411EBD"/>
    <w:rsid w:val="7EFCAA4F"/>
    <w:rsid w:val="7F44428D"/>
    <w:rsid w:val="7FD60E73"/>
    <w:rsid w:val="9A3FB545"/>
    <w:rsid w:val="9FB6899F"/>
    <w:rsid w:val="B7F68E03"/>
    <w:rsid w:val="B7FF41BB"/>
    <w:rsid w:val="BFDF9036"/>
    <w:rsid w:val="BFFD93FC"/>
    <w:rsid w:val="E797F13C"/>
    <w:rsid w:val="F07FCC21"/>
    <w:rsid w:val="FBF2DA55"/>
    <w:rsid w:val="FBFD10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7"/>
    <w:qFormat/>
    <w:uiPriority w:val="0"/>
    <w:pPr>
      <w:ind w:firstLine="420" w:firstLineChars="100"/>
    </w:pPr>
    <w:rPr>
      <w:rFonts w:ascii="Calibri" w:hAnsi="Calibri"/>
      <w:kern w:val="0"/>
      <w:sz w:val="20"/>
      <w:szCs w:val="20"/>
    </w:rPr>
  </w:style>
  <w:style w:type="paragraph" w:styleId="15">
    <w:name w:val="Body Text First Indent 2"/>
    <w:basedOn w:val="1"/>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1832</Words>
  <Characters>1843</Characters>
  <Lines>1</Lines>
  <Paragraphs>1</Paragraphs>
  <TotalTime>0</TotalTime>
  <ScaleCrop>false</ScaleCrop>
  <LinksUpToDate>false</LinksUpToDate>
  <CharactersWithSpaces>1850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2017-07-28T17:59:00Z</dcterms:created>
  <dc:creator>齐齐</dc:creator>
  <cp:lastModifiedBy>PC400</cp:lastModifiedBy>
  <cp:lastPrinted>2022-08-18T17:38:00Z</cp:lastPrinted>
  <dcterms:modified xsi:type="dcterms:W3CDTF">2022-11-01T10:23:25Z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425B13E3390D4D2A85DFFAA1216948B3</vt:lpwstr>
  </property>
</Properties>
</file>