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lang w:val="en-US" w:eastAsia="zh-CN"/>
        </w:rPr>
      </w:pPr>
    </w:p>
    <w:p>
      <w:pPr>
        <w:pStyle w:val="15"/>
        <w:bidi w:val="0"/>
        <w:rPr>
          <w:rFonts w:hint="eastAsia"/>
        </w:rPr>
      </w:pPr>
    </w:p>
    <w:p>
      <w:pPr>
        <w:pStyle w:val="3"/>
        <w:bidi w:val="0"/>
        <w:rPr>
          <w:rFonts w:hint="eastAsia"/>
          <w:lang w:val="en-US" w:eastAsia="zh-CN"/>
        </w:rPr>
      </w:pPr>
      <w:r>
        <w:rPr>
          <w:rFonts w:hint="eastAsia"/>
          <w:lang w:val="en-US" w:eastAsia="zh-CN"/>
        </w:rPr>
        <w:t>福州市海上交通安全管理条例</w:t>
      </w:r>
    </w:p>
    <w:p>
      <w:pPr>
        <w:pStyle w:val="15"/>
        <w:bidi w:val="0"/>
        <w:rPr>
          <w:rFonts w:hint="eastAsia"/>
          <w:lang w:val="en-US" w:eastAsia="zh-CN"/>
        </w:rPr>
      </w:pPr>
    </w:p>
    <w:p>
      <w:pPr>
        <w:pStyle w:val="12"/>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w:t>
      </w:r>
      <w:r>
        <w:rPr>
          <w:rFonts w:hint="eastAsia"/>
          <w:lang w:eastAsia="zh-CN"/>
        </w:rPr>
        <w:t>20</w:t>
      </w:r>
      <w:r>
        <w:rPr>
          <w:rFonts w:hint="default"/>
          <w:lang w:val="en" w:eastAsia="zh-CN"/>
        </w:rPr>
        <w:t>06</w:t>
      </w:r>
      <w:r>
        <w:rPr>
          <w:rFonts w:hint="eastAsia"/>
          <w:lang w:eastAsia="zh-CN"/>
        </w:rPr>
        <w:t>年</w:t>
      </w:r>
      <w:r>
        <w:rPr>
          <w:rFonts w:hint="default"/>
          <w:lang w:val="en" w:eastAsia="zh-CN"/>
        </w:rPr>
        <w:t>4</w:t>
      </w:r>
      <w:r>
        <w:rPr>
          <w:rFonts w:hint="eastAsia"/>
          <w:lang w:eastAsia="zh-CN"/>
        </w:rPr>
        <w:t>月</w:t>
      </w:r>
      <w:r>
        <w:rPr>
          <w:rFonts w:hint="eastAsia"/>
          <w:lang w:val="en-US" w:eastAsia="zh-CN"/>
        </w:rPr>
        <w:t>2</w:t>
      </w:r>
      <w:r>
        <w:rPr>
          <w:rFonts w:hint="default"/>
          <w:lang w:val="en" w:eastAsia="zh-CN"/>
        </w:rPr>
        <w:t>9</w:t>
      </w:r>
      <w:r>
        <w:rPr>
          <w:rFonts w:hint="eastAsia"/>
          <w:lang w:eastAsia="zh-CN"/>
        </w:rPr>
        <w:t>日福州市第十二届人民代表大会常务委员会第三十二次会议通过</w:t>
      </w:r>
      <w:r>
        <w:rPr>
          <w:rFonts w:hint="eastAsia"/>
          <w:lang w:val="en-US" w:eastAsia="zh-CN"/>
        </w:rPr>
        <w:t>　</w:t>
      </w:r>
      <w:r>
        <w:rPr>
          <w:rFonts w:hint="eastAsia"/>
          <w:lang w:eastAsia="zh-CN"/>
        </w:rPr>
        <w:t>20</w:t>
      </w:r>
      <w:r>
        <w:rPr>
          <w:rFonts w:hint="eastAsia"/>
          <w:lang w:val="en-US" w:eastAsia="zh-CN"/>
        </w:rPr>
        <w:t>06</w:t>
      </w:r>
      <w:r>
        <w:rPr>
          <w:rFonts w:hint="eastAsia"/>
          <w:lang w:eastAsia="zh-CN"/>
        </w:rPr>
        <w:t>年</w:t>
      </w:r>
      <w:r>
        <w:rPr>
          <w:rFonts w:hint="eastAsia"/>
          <w:lang w:val="en-US" w:eastAsia="zh-CN"/>
        </w:rPr>
        <w:t>8</w:t>
      </w:r>
      <w:r>
        <w:rPr>
          <w:rFonts w:hint="eastAsia"/>
          <w:lang w:eastAsia="zh-CN"/>
        </w:rPr>
        <w:t>月</w:t>
      </w:r>
      <w:r>
        <w:rPr>
          <w:rFonts w:hint="eastAsia"/>
          <w:lang w:val="en-US" w:eastAsia="zh-CN"/>
        </w:rPr>
        <w:t>4</w:t>
      </w:r>
      <w:r>
        <w:rPr>
          <w:rFonts w:hint="eastAsia"/>
          <w:lang w:eastAsia="zh-CN"/>
        </w:rPr>
        <w:t>日福建省第</w:t>
      </w:r>
      <w:r>
        <w:rPr>
          <w:rFonts w:hint="eastAsia"/>
          <w:lang w:val="en-US" w:eastAsia="zh-CN"/>
        </w:rPr>
        <w:t>十</w:t>
      </w:r>
      <w:r>
        <w:rPr>
          <w:rFonts w:hint="eastAsia"/>
          <w:lang w:eastAsia="zh-CN"/>
        </w:rPr>
        <w:t>届人民代表大会常务委员会第</w:t>
      </w:r>
      <w:r>
        <w:rPr>
          <w:rFonts w:hint="eastAsia"/>
          <w:lang w:val="en-US" w:eastAsia="zh-CN"/>
        </w:rPr>
        <w:t>二十四</w:t>
      </w:r>
      <w:r>
        <w:rPr>
          <w:rFonts w:hint="eastAsia"/>
          <w:lang w:eastAsia="zh-CN"/>
        </w:rPr>
        <w:t>次会议批准</w:t>
      </w:r>
      <w:r>
        <w:rPr>
          <w:rFonts w:hint="eastAsia"/>
          <w:lang w:val="en-US" w:eastAsia="zh-CN"/>
        </w:rPr>
        <w:t>　根据2010年10月28日福州市第十三届人民代表大会常务委员会第三十一次会议《关于修改部分地方性法规的决定》修正　2010</w:t>
      </w:r>
      <w:r>
        <w:rPr>
          <w:rFonts w:hint="eastAsia"/>
          <w:lang w:eastAsia="zh-CN"/>
        </w:rPr>
        <w:t>年</w:t>
      </w:r>
      <w:r>
        <w:rPr>
          <w:rFonts w:hint="eastAsia"/>
          <w:lang w:val="en-US" w:eastAsia="zh-CN"/>
        </w:rPr>
        <w:t>11</w:t>
      </w:r>
      <w:r>
        <w:rPr>
          <w:rFonts w:hint="eastAsia"/>
          <w:lang w:eastAsia="zh-CN"/>
        </w:rPr>
        <w:t>月</w:t>
      </w:r>
      <w:r>
        <w:rPr>
          <w:rFonts w:hint="eastAsia"/>
          <w:lang w:val="en-US" w:eastAsia="zh-CN"/>
        </w:rPr>
        <w:t>29</w:t>
      </w:r>
      <w:r>
        <w:rPr>
          <w:rFonts w:hint="eastAsia"/>
          <w:lang w:eastAsia="zh-CN"/>
        </w:rPr>
        <w:t>日福建省第</w:t>
      </w:r>
      <w:r>
        <w:rPr>
          <w:rFonts w:hint="eastAsia"/>
          <w:lang w:val="en-US" w:eastAsia="zh-CN"/>
        </w:rPr>
        <w:t>十一</w:t>
      </w:r>
      <w:r>
        <w:rPr>
          <w:rFonts w:hint="eastAsia"/>
          <w:lang w:eastAsia="zh-CN"/>
        </w:rPr>
        <w:t>届人民代表大会常务委员会第</w:t>
      </w:r>
      <w:r>
        <w:rPr>
          <w:rFonts w:hint="eastAsia"/>
          <w:lang w:val="en-US" w:eastAsia="zh-CN"/>
        </w:rPr>
        <w:t>十八</w:t>
      </w:r>
      <w:r>
        <w:rPr>
          <w:rFonts w:hint="eastAsia"/>
          <w:lang w:eastAsia="zh-CN"/>
        </w:rPr>
        <w:t>次会议批准</w:t>
      </w:r>
      <w:r>
        <w:rPr>
          <w:rFonts w:hint="eastAsia"/>
          <w:lang w:val="en-US" w:eastAsia="zh-CN"/>
        </w:rPr>
        <w:t>　</w:t>
      </w:r>
      <w:r>
        <w:rPr>
          <w:rFonts w:hint="eastAsia"/>
          <w:lang w:eastAsia="zh-CN"/>
        </w:rPr>
        <w:t>20</w:t>
      </w:r>
      <w:r>
        <w:rPr>
          <w:rFonts w:hint="eastAsia"/>
          <w:lang w:val="en-US" w:eastAsia="zh-CN"/>
        </w:rPr>
        <w:t>24</w:t>
      </w:r>
      <w:r>
        <w:rPr>
          <w:rFonts w:hint="eastAsia"/>
          <w:lang w:eastAsia="zh-CN"/>
        </w:rPr>
        <w:t>年</w:t>
      </w:r>
      <w:r>
        <w:rPr>
          <w:rFonts w:hint="eastAsia"/>
          <w:lang w:val="en-US" w:eastAsia="zh-CN"/>
        </w:rPr>
        <w:t>6</w:t>
      </w:r>
      <w:r>
        <w:rPr>
          <w:rFonts w:hint="eastAsia"/>
          <w:lang w:eastAsia="zh-CN"/>
        </w:rPr>
        <w:t>月</w:t>
      </w:r>
      <w:r>
        <w:rPr>
          <w:rFonts w:hint="eastAsia"/>
          <w:lang w:val="en-US" w:eastAsia="zh-CN"/>
        </w:rPr>
        <w:t>27</w:t>
      </w:r>
      <w:r>
        <w:rPr>
          <w:rFonts w:hint="eastAsia"/>
          <w:lang w:eastAsia="zh-CN"/>
        </w:rPr>
        <w:t>日福州市第十六届人民代表大会常务委员会第十八次会议修订</w:t>
      </w:r>
      <w:r>
        <w:rPr>
          <w:rFonts w:hint="eastAsia"/>
          <w:lang w:val="en" w:eastAsia="zh-CN"/>
        </w:rPr>
        <w:t>　</w:t>
      </w:r>
      <w:r>
        <w:rPr>
          <w:rFonts w:hint="eastAsia"/>
          <w:lang w:eastAsia="zh-CN"/>
        </w:rPr>
        <w:t>20</w:t>
      </w:r>
      <w:r>
        <w:rPr>
          <w:rFonts w:hint="eastAsia"/>
          <w:lang w:val="en-US" w:eastAsia="zh-CN"/>
        </w:rPr>
        <w:t>2</w:t>
      </w:r>
      <w:r>
        <w:rPr>
          <w:rFonts w:hint="eastAsia"/>
          <w:lang w:eastAsia="zh-CN"/>
        </w:rPr>
        <w:t>4年</w:t>
      </w:r>
      <w:bookmarkStart w:id="0" w:name="_GoBack"/>
      <w:bookmarkEnd w:id="0"/>
      <w:r>
        <w:rPr>
          <w:rFonts w:hint="eastAsia"/>
          <w:lang w:val="en-US" w:eastAsia="zh-CN"/>
        </w:rPr>
        <w:t>7</w:t>
      </w:r>
      <w:r>
        <w:rPr>
          <w:rFonts w:hint="eastAsia"/>
          <w:lang w:eastAsia="zh-CN"/>
        </w:rPr>
        <w:t>月</w:t>
      </w:r>
      <w:r>
        <w:rPr>
          <w:rFonts w:hint="eastAsia"/>
          <w:lang w:val="en-US" w:eastAsia="zh-CN"/>
        </w:rPr>
        <w:t>24</w:t>
      </w:r>
      <w:r>
        <w:rPr>
          <w:rFonts w:hint="eastAsia"/>
          <w:lang w:eastAsia="zh-CN"/>
        </w:rPr>
        <w:t>日福建省第</w:t>
      </w:r>
      <w:r>
        <w:rPr>
          <w:rFonts w:hint="eastAsia"/>
          <w:lang w:val="en-US" w:eastAsia="zh-CN"/>
        </w:rPr>
        <w:t>十四</w:t>
      </w:r>
      <w:r>
        <w:rPr>
          <w:rFonts w:hint="eastAsia"/>
          <w:lang w:eastAsia="zh-CN"/>
        </w:rPr>
        <w:t>届人民代表大会常务委员会第</w:t>
      </w:r>
      <w:r>
        <w:rPr>
          <w:rFonts w:hint="eastAsia"/>
          <w:lang w:val="en-US" w:eastAsia="zh-CN"/>
        </w:rPr>
        <w:t>十一</w:t>
      </w:r>
      <w:r>
        <w:rPr>
          <w:rFonts w:hint="eastAsia"/>
          <w:lang w:eastAsia="zh-CN"/>
        </w:rPr>
        <w:t>次会议批准</w:t>
      </w:r>
      <w:r>
        <w:rPr>
          <w:rFonts w:hint="eastAsia"/>
          <w:lang w:val="en-US" w:eastAsia="zh-CN"/>
        </w:rPr>
        <w:t>）</w:t>
      </w:r>
    </w:p>
    <w:p>
      <w:pPr>
        <w:pStyle w:val="15"/>
        <w:bidi w:val="0"/>
        <w:rPr>
          <w:rFonts w:hint="eastAsia"/>
          <w:lang w:val="en-US" w:eastAsia="zh-CN"/>
        </w:rPr>
      </w:pPr>
    </w:p>
    <w:p>
      <w:pPr>
        <w:pStyle w:val="13"/>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eastAsia="zh-CN"/>
        </w:rPr>
      </w:pPr>
      <w:r>
        <w:rPr>
          <w:rFonts w:hint="eastAsia"/>
        </w:rPr>
        <w:t>目</w:t>
      </w:r>
      <w:r>
        <w:rPr>
          <w:rFonts w:hint="eastAsia"/>
          <w:lang w:eastAsia="zh-CN"/>
        </w:rPr>
        <w:t>　　</w:t>
      </w:r>
      <w:r>
        <w:rPr>
          <w:rFonts w:hint="eastAsia"/>
        </w:rPr>
        <w:t>录</w:t>
      </w:r>
    </w:p>
    <w:p>
      <w:pPr>
        <w:pStyle w:val="14"/>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eastAsia="zh-CN"/>
        </w:rPr>
      </w:pPr>
      <w:r>
        <w:rPr>
          <w:rFonts w:hint="eastAsia"/>
          <w:lang w:eastAsia="zh-CN"/>
        </w:rPr>
        <w:t>第一章　总　　则</w:t>
      </w:r>
    </w:p>
    <w:p>
      <w:pPr>
        <w:pStyle w:val="14"/>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eastAsia="zh-CN"/>
        </w:rPr>
      </w:pPr>
      <w:r>
        <w:rPr>
          <w:rFonts w:hint="eastAsia"/>
          <w:lang w:eastAsia="zh-CN"/>
        </w:rPr>
        <w:t>第二章　海上航行、停泊和作业</w:t>
      </w:r>
    </w:p>
    <w:p>
      <w:pPr>
        <w:pStyle w:val="14"/>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eastAsia="zh-CN"/>
        </w:rPr>
      </w:pPr>
      <w:r>
        <w:rPr>
          <w:rFonts w:hint="eastAsia"/>
          <w:lang w:eastAsia="zh-CN"/>
        </w:rPr>
        <w:t>第三章　海上客货运输安全</w:t>
      </w:r>
    </w:p>
    <w:p>
      <w:pPr>
        <w:pStyle w:val="14"/>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eastAsia="zh-CN"/>
        </w:rPr>
      </w:pPr>
      <w:r>
        <w:rPr>
          <w:rFonts w:hint="eastAsia"/>
          <w:lang w:eastAsia="zh-CN"/>
        </w:rPr>
        <w:t>第四章　海上搜寻救助</w:t>
      </w:r>
    </w:p>
    <w:p>
      <w:pPr>
        <w:pStyle w:val="14"/>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eastAsia="zh-CN"/>
        </w:rPr>
      </w:pPr>
      <w:r>
        <w:rPr>
          <w:rFonts w:hint="eastAsia"/>
          <w:lang w:eastAsia="zh-CN"/>
        </w:rPr>
        <w:t>第五章　海上交通安全保障</w:t>
      </w:r>
    </w:p>
    <w:p>
      <w:pPr>
        <w:pStyle w:val="14"/>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eastAsia="zh-CN"/>
        </w:rPr>
      </w:pPr>
      <w:r>
        <w:rPr>
          <w:rFonts w:hint="eastAsia"/>
          <w:lang w:eastAsia="zh-CN"/>
        </w:rPr>
        <w:t>第六章　法律责任</w:t>
      </w:r>
    </w:p>
    <w:p>
      <w:pPr>
        <w:pStyle w:val="14"/>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eastAsia="zh-CN"/>
        </w:rPr>
      </w:pPr>
      <w:r>
        <w:rPr>
          <w:rFonts w:hint="eastAsia"/>
          <w:lang w:eastAsia="zh-CN"/>
        </w:rPr>
        <w:t>第七章　附　　则</w:t>
      </w:r>
    </w:p>
    <w:p>
      <w:pPr>
        <w:pStyle w:val="15"/>
        <w:bidi w:val="0"/>
        <w:rPr>
          <w:rFonts w:hint="eastAsia"/>
          <w:lang w:eastAsia="zh-CN"/>
        </w:rPr>
      </w:pPr>
    </w:p>
    <w:p>
      <w:pPr>
        <w:pStyle w:val="5"/>
        <w:keepNext/>
        <w:keepLines/>
        <w:widowControl w:val="0"/>
        <w:bidi w:val="0"/>
        <w:spacing w:line="240" w:lineRule="auto"/>
        <w:ind w:firstLine="0" w:firstLineChars="0"/>
        <w:jc w:val="center"/>
        <w:outlineLvl w:val="2"/>
        <w:rPr>
          <w:rFonts w:hint="eastAsia"/>
          <w:lang w:eastAsia="zh-CN"/>
        </w:rPr>
      </w:pPr>
      <w:r>
        <w:rPr>
          <w:rFonts w:hint="eastAsia"/>
          <w:lang w:eastAsia="zh-CN"/>
        </w:rPr>
        <w:t>第一章　总　　则</w:t>
      </w:r>
    </w:p>
    <w:p>
      <w:pPr>
        <w:pStyle w:val="15"/>
        <w:widowControl w:val="0"/>
        <w:bidi w:val="0"/>
        <w:ind w:firstLine="0" w:firstLineChars="0"/>
        <w:jc w:val="both"/>
        <w:rPr>
          <w:rFonts w:hint="eastAsia"/>
        </w:rPr>
      </w:pPr>
    </w:p>
    <w:p>
      <w:pPr>
        <w:widowControl w:val="0"/>
        <w:bidi w:val="0"/>
        <w:ind w:firstLine="632" w:firstLineChars="200"/>
        <w:jc w:val="both"/>
        <w:rPr>
          <w:rFonts w:hint="default"/>
        </w:rPr>
      </w:pPr>
      <w:r>
        <w:rPr>
          <w:rFonts w:hint="eastAsia" w:eastAsia="黑体"/>
          <w:sz w:val="32"/>
          <w:lang w:eastAsia="zh-CN"/>
        </w:rPr>
        <w:t>第一条</w:t>
      </w:r>
      <w:r>
        <w:rPr>
          <w:rFonts w:hint="eastAsia"/>
          <w:lang w:eastAsia="zh-CN"/>
        </w:rPr>
        <w:t>　</w:t>
      </w:r>
      <w:r>
        <w:rPr>
          <w:rFonts w:hint="eastAsia"/>
        </w:rPr>
        <w:t>为了加强海上交通安全管理，维护海上交通秩序安全、有序、畅通，保障人身和财产安全，促进经济社会高质量发展，根据《中华人民共和国海上交通安全法》等法律、法规，结合本市实际，制定本条例。</w:t>
      </w:r>
    </w:p>
    <w:p>
      <w:pPr>
        <w:widowControl w:val="0"/>
        <w:bidi w:val="0"/>
        <w:ind w:firstLine="632" w:firstLineChars="200"/>
        <w:jc w:val="both"/>
        <w:rPr>
          <w:rFonts w:hint="default"/>
        </w:rPr>
      </w:pPr>
      <w:r>
        <w:rPr>
          <w:rFonts w:hint="eastAsia" w:eastAsia="黑体"/>
          <w:sz w:val="32"/>
          <w:lang w:eastAsia="zh-CN"/>
        </w:rPr>
        <w:t>第二条</w:t>
      </w:r>
      <w:r>
        <w:rPr>
          <w:rFonts w:hint="eastAsia"/>
          <w:lang w:val="en-US" w:eastAsia="zh-CN"/>
        </w:rPr>
        <w:t>　</w:t>
      </w:r>
      <w:r>
        <w:rPr>
          <w:rFonts w:hint="eastAsia"/>
        </w:rPr>
        <w:t>在</w:t>
      </w:r>
      <w:r>
        <w:rPr>
          <w:rFonts w:hint="eastAsia"/>
          <w:lang w:val="en-US" w:eastAsia="zh-CN"/>
        </w:rPr>
        <w:t>中华人民共和国福州海事局（以下简称海事管理机构）管辖的</w:t>
      </w:r>
      <w:r>
        <w:rPr>
          <w:rFonts w:hint="eastAsia"/>
        </w:rPr>
        <w:t>海域</w:t>
      </w:r>
      <w:r>
        <w:rPr>
          <w:rFonts w:hint="eastAsia"/>
          <w:lang w:eastAsia="zh-CN"/>
        </w:rPr>
        <w:t>和相关水域</w:t>
      </w:r>
      <w:r>
        <w:rPr>
          <w:rFonts w:hint="eastAsia"/>
        </w:rPr>
        <w:t>从事航行、停泊、作业、搜救以及其他与海上交通安全有关的活动，适用本条例。</w:t>
      </w:r>
    </w:p>
    <w:p>
      <w:pPr>
        <w:widowControl w:val="0"/>
        <w:bidi w:val="0"/>
        <w:ind w:firstLine="632" w:firstLineChars="200"/>
        <w:jc w:val="both"/>
        <w:rPr>
          <w:rFonts w:hint="default"/>
        </w:rPr>
      </w:pPr>
      <w:r>
        <w:rPr>
          <w:rFonts w:hint="eastAsia" w:eastAsia="黑体"/>
          <w:sz w:val="32"/>
          <w:lang w:eastAsia="zh-CN"/>
        </w:rPr>
        <w:t>第三条</w:t>
      </w:r>
      <w:r>
        <w:rPr>
          <w:rFonts w:hint="eastAsia"/>
          <w:lang w:val="en-US" w:eastAsia="zh-CN"/>
        </w:rPr>
        <w:t>　</w:t>
      </w:r>
      <w:r>
        <w:rPr>
          <w:rFonts w:hint="eastAsia"/>
        </w:rPr>
        <w:t>海上交通安全管理应当坚持安全第一、预防为主、便利通行、依法管理的原则。</w:t>
      </w:r>
    </w:p>
    <w:p>
      <w:pPr>
        <w:widowControl w:val="0"/>
        <w:bidi w:val="0"/>
        <w:ind w:firstLine="632" w:firstLineChars="200"/>
        <w:jc w:val="both"/>
        <w:rPr>
          <w:rFonts w:hint="default"/>
        </w:rPr>
      </w:pPr>
      <w:r>
        <w:rPr>
          <w:rFonts w:hint="eastAsia" w:eastAsia="黑体"/>
          <w:sz w:val="32"/>
          <w:lang w:eastAsia="zh-CN"/>
        </w:rPr>
        <w:t>第四条</w:t>
      </w:r>
      <w:r>
        <w:rPr>
          <w:rFonts w:hint="eastAsia"/>
          <w:lang w:eastAsia="zh-CN"/>
        </w:rPr>
        <w:t>　</w:t>
      </w:r>
      <w:r>
        <w:rPr>
          <w:rFonts w:hint="eastAsia"/>
          <w:lang w:val="en-US" w:eastAsia="zh-CN"/>
        </w:rPr>
        <w:t>海事管理机构</w:t>
      </w:r>
      <w:r>
        <w:rPr>
          <w:rFonts w:hint="eastAsia"/>
          <w:lang w:eastAsia="zh-CN"/>
        </w:rPr>
        <w:t>负责本市</w:t>
      </w:r>
      <w:r>
        <w:rPr>
          <w:rFonts w:hint="eastAsia"/>
        </w:rPr>
        <w:t>海上交通安全的监督管理。</w:t>
      </w:r>
    </w:p>
    <w:p>
      <w:pPr>
        <w:bidi w:val="0"/>
        <w:rPr>
          <w:rFonts w:hint="default"/>
        </w:rPr>
      </w:pPr>
      <w:r>
        <w:rPr>
          <w:rFonts w:hint="eastAsia"/>
        </w:rPr>
        <w:t>交通运输、港口管理、应急管理、海洋与渔业、公安、海警、文化和旅游、体育、自然资源和规划、气象等有关单位按照职责分工，做好海上交通安全工作。</w:t>
      </w:r>
    </w:p>
    <w:p>
      <w:pPr>
        <w:widowControl w:val="0"/>
        <w:bidi w:val="0"/>
        <w:ind w:firstLine="632" w:firstLineChars="200"/>
        <w:jc w:val="both"/>
        <w:rPr>
          <w:rFonts w:hint="default"/>
        </w:rPr>
      </w:pPr>
      <w:r>
        <w:rPr>
          <w:rFonts w:hint="eastAsia" w:eastAsia="黑体"/>
          <w:sz w:val="32"/>
          <w:lang w:eastAsia="zh-CN"/>
        </w:rPr>
        <w:t>第五条</w:t>
      </w:r>
      <w:r>
        <w:rPr>
          <w:rFonts w:hint="eastAsia"/>
          <w:lang w:eastAsia="zh-CN"/>
        </w:rPr>
        <w:t>　</w:t>
      </w:r>
      <w:r>
        <w:rPr>
          <w:rFonts w:hint="eastAsia"/>
        </w:rPr>
        <w:t>市人民政府应当加强海上交通安全管理，建立海上交通安全综合协调机制，定期组织有关单位召开海上交通安全联席会议，协调解决海上交通安全重大问题，组织开展联合执法。</w:t>
      </w:r>
    </w:p>
    <w:p>
      <w:pPr>
        <w:widowControl w:val="0"/>
        <w:bidi w:val="0"/>
        <w:ind w:firstLine="632" w:firstLineChars="200"/>
        <w:jc w:val="both"/>
        <w:rPr>
          <w:rFonts w:hint="default"/>
        </w:rPr>
      </w:pPr>
      <w:r>
        <w:rPr>
          <w:rFonts w:hint="eastAsia" w:eastAsia="黑体"/>
          <w:sz w:val="32"/>
          <w:lang w:eastAsia="zh-CN"/>
        </w:rPr>
        <w:t>第六条</w:t>
      </w:r>
      <w:r>
        <w:rPr>
          <w:rFonts w:hint="eastAsia"/>
          <w:lang w:val="en-US" w:eastAsia="zh-CN"/>
        </w:rPr>
        <w:t>　</w:t>
      </w:r>
      <w:r>
        <w:rPr>
          <w:rFonts w:hint="eastAsia"/>
        </w:rPr>
        <w:t>海事管理机构应当根据国土空间规划和福州港总体规划，结合实际海况和海上交通安全管理的需要，划定、调整海上交通功能区域，并及时向社会公布。</w:t>
      </w:r>
    </w:p>
    <w:p>
      <w:pPr>
        <w:widowControl w:val="0"/>
        <w:bidi w:val="0"/>
        <w:ind w:firstLine="632" w:firstLineChars="200"/>
        <w:jc w:val="both"/>
        <w:rPr>
          <w:rFonts w:hint="default"/>
        </w:rPr>
      </w:pPr>
      <w:r>
        <w:rPr>
          <w:rFonts w:hint="eastAsia" w:eastAsia="黑体"/>
          <w:sz w:val="32"/>
          <w:lang w:eastAsia="zh-CN"/>
        </w:rPr>
        <w:t>第七条</w:t>
      </w:r>
      <w:r>
        <w:rPr>
          <w:rFonts w:hint="eastAsia"/>
          <w:lang w:eastAsia="zh-CN"/>
        </w:rPr>
        <w:t>　</w:t>
      </w:r>
      <w:r>
        <w:rPr>
          <w:rFonts w:hint="eastAsia"/>
        </w:rPr>
        <w:t>海事管理机构应当建立海上交通安全信息共享平台，海事管理机构以及有关单位应当将海上交通安全相关信息汇聚平台，公民、法人和其他组织可以在平台办理涉及海上交通安全的许可申请、登记、报告等事项，实现信息共享。</w:t>
      </w:r>
    </w:p>
    <w:p>
      <w:pPr>
        <w:widowControl w:val="0"/>
        <w:bidi w:val="0"/>
        <w:ind w:firstLine="632" w:firstLineChars="200"/>
        <w:jc w:val="both"/>
        <w:rPr>
          <w:rFonts w:hint="default"/>
        </w:rPr>
      </w:pPr>
      <w:r>
        <w:rPr>
          <w:rFonts w:hint="eastAsia" w:eastAsia="黑体"/>
          <w:sz w:val="32"/>
          <w:lang w:eastAsia="zh-CN"/>
        </w:rPr>
        <w:t>第八条</w:t>
      </w:r>
      <w:r>
        <w:rPr>
          <w:rFonts w:hint="eastAsia"/>
          <w:lang w:eastAsia="zh-CN"/>
        </w:rPr>
        <w:t>　</w:t>
      </w:r>
      <w:r>
        <w:rPr>
          <w:rFonts w:hint="eastAsia"/>
        </w:rPr>
        <w:t>任何单位和个人有权向海事管理机构举报妨碍海上交通安全的行为。海事管理机构接到举报后，应当及时进行核实、处理。</w:t>
      </w:r>
    </w:p>
    <w:p>
      <w:pPr>
        <w:pStyle w:val="15"/>
        <w:bidi w:val="0"/>
        <w:rPr>
          <w:rFonts w:hint="eastAsia"/>
          <w:lang w:eastAsia="zh-CN"/>
        </w:rPr>
      </w:pPr>
    </w:p>
    <w:p>
      <w:pPr>
        <w:pStyle w:val="5"/>
        <w:keepNext/>
        <w:keepLines/>
        <w:widowControl w:val="0"/>
        <w:bidi w:val="0"/>
        <w:spacing w:line="240" w:lineRule="auto"/>
        <w:ind w:firstLine="0" w:firstLineChars="0"/>
        <w:jc w:val="center"/>
        <w:outlineLvl w:val="2"/>
        <w:rPr>
          <w:rFonts w:hint="eastAsia"/>
          <w:lang w:eastAsia="zh-CN"/>
        </w:rPr>
      </w:pPr>
      <w:r>
        <w:rPr>
          <w:rFonts w:hint="eastAsia"/>
          <w:lang w:eastAsia="zh-CN"/>
        </w:rPr>
        <w:t>第二章　海上航行、停泊和作业</w:t>
      </w:r>
    </w:p>
    <w:p>
      <w:pPr>
        <w:pStyle w:val="15"/>
        <w:bidi w:val="0"/>
        <w:rPr>
          <w:rFonts w:hint="eastAsia"/>
        </w:rPr>
      </w:pPr>
    </w:p>
    <w:p>
      <w:pPr>
        <w:widowControl w:val="0"/>
        <w:bidi w:val="0"/>
        <w:ind w:firstLine="632" w:firstLineChars="200"/>
        <w:jc w:val="both"/>
        <w:rPr>
          <w:rFonts w:hint="default"/>
        </w:rPr>
      </w:pPr>
      <w:r>
        <w:rPr>
          <w:rFonts w:hint="eastAsia" w:eastAsia="黑体"/>
          <w:sz w:val="32"/>
          <w:lang w:eastAsia="zh-CN"/>
        </w:rPr>
        <w:t>第九条</w:t>
      </w:r>
      <w:r>
        <w:rPr>
          <w:rFonts w:hint="eastAsia"/>
          <w:lang w:eastAsia="zh-CN"/>
        </w:rPr>
        <w:t>　</w:t>
      </w:r>
      <w:r>
        <w:rPr>
          <w:rFonts w:hint="eastAsia"/>
        </w:rPr>
        <w:t>船舶应当在其船舶检验证书载明的航区内航行、停泊和作业，遵守相关航行规则，按照有关规定显示信号、悬挂标志，保持足够的富余水深。</w:t>
      </w:r>
    </w:p>
    <w:p>
      <w:pPr>
        <w:bidi w:val="0"/>
        <w:rPr>
          <w:rFonts w:hint="default"/>
        </w:rPr>
      </w:pPr>
      <w:r>
        <w:rPr>
          <w:rFonts w:hint="eastAsia"/>
        </w:rPr>
        <w:t>船舶应当守听国际遇险、安全和呼叫频道，保持通信畅通。</w:t>
      </w:r>
    </w:p>
    <w:p>
      <w:pPr>
        <w:widowControl w:val="0"/>
        <w:bidi w:val="0"/>
        <w:ind w:firstLine="632" w:firstLineChars="200"/>
        <w:jc w:val="both"/>
        <w:rPr>
          <w:rFonts w:hint="default"/>
        </w:rPr>
      </w:pPr>
      <w:r>
        <w:rPr>
          <w:rFonts w:hint="eastAsia" w:eastAsia="黑体"/>
          <w:sz w:val="32"/>
          <w:lang w:eastAsia="zh-CN"/>
        </w:rPr>
        <w:t>第十条</w:t>
      </w:r>
      <w:r>
        <w:rPr>
          <w:rFonts w:hint="eastAsia"/>
          <w:lang w:val="en-US" w:eastAsia="zh-CN"/>
        </w:rPr>
        <w:t>　</w:t>
      </w:r>
      <w:r>
        <w:rPr>
          <w:rFonts w:hint="eastAsia"/>
        </w:rPr>
        <w:t>在闽江口内港区、罗源湾港区、松下港区、江阴港区水域航行的船舶，应当加强瞭望，保持安全航速，并遵守海事管理机构制定的特殊航行规则。</w:t>
      </w:r>
    </w:p>
    <w:p>
      <w:pPr>
        <w:bidi w:val="0"/>
        <w:rPr>
          <w:rFonts w:hint="default"/>
        </w:rPr>
      </w:pPr>
      <w:r>
        <w:rPr>
          <w:rFonts w:hint="eastAsia"/>
        </w:rPr>
        <w:t>高速客船在港口水域航行时，应当主动让清所有非高速船舶；在闽江口内港区水域航行时，最高静水航速不得超过十五节。</w:t>
      </w:r>
    </w:p>
    <w:p>
      <w:pPr>
        <w:bidi w:val="0"/>
        <w:rPr>
          <w:rFonts w:hint="default"/>
        </w:rPr>
      </w:pPr>
      <w:r>
        <w:rPr>
          <w:rFonts w:hint="eastAsia"/>
        </w:rPr>
        <w:t>船舶通过闽江口内港区的金牌门、马祖印灯浮时，三百总吨以上船舶不得会遇，不足三百总吨的船舶不得妨碍三百总吨以上船舶航行。</w:t>
      </w:r>
    </w:p>
    <w:p>
      <w:pPr>
        <w:widowControl w:val="0"/>
        <w:bidi w:val="0"/>
        <w:ind w:firstLine="632" w:firstLineChars="200"/>
        <w:jc w:val="both"/>
        <w:rPr>
          <w:rFonts w:hint="default"/>
        </w:rPr>
      </w:pPr>
      <w:r>
        <w:rPr>
          <w:rFonts w:hint="eastAsia" w:eastAsia="黑体"/>
          <w:sz w:val="32"/>
          <w:lang w:eastAsia="zh-CN"/>
        </w:rPr>
        <w:t>第十一条</w:t>
      </w:r>
      <w:r>
        <w:rPr>
          <w:rFonts w:hint="eastAsia"/>
          <w:lang w:eastAsia="zh-CN"/>
        </w:rPr>
        <w:t>　</w:t>
      </w:r>
      <w:r>
        <w:rPr>
          <w:rFonts w:hint="eastAsia"/>
        </w:rPr>
        <w:t>船舶通过桥区水域，应当采取下列措施：</w:t>
      </w:r>
    </w:p>
    <w:p>
      <w:pPr>
        <w:bidi w:val="0"/>
        <w:rPr>
          <w:rFonts w:hint="default"/>
        </w:rPr>
      </w:pPr>
      <w:r>
        <w:rPr>
          <w:rFonts w:hint="eastAsia"/>
        </w:rPr>
        <w:t>（一）进入桥区水域前，保持主机、舵、锚、航行信号、导航设备、拖带设备以及应急设备处于良好技术状态；</w:t>
      </w:r>
    </w:p>
    <w:p>
      <w:pPr>
        <w:bidi w:val="0"/>
        <w:rPr>
          <w:rFonts w:hint="eastAsia"/>
        </w:rPr>
      </w:pPr>
      <w:r>
        <w:rPr>
          <w:rFonts w:hint="eastAsia"/>
        </w:rPr>
        <w:t>（二）加强瞭望，及早与过往船舶取得联系，明确各自动态</w:t>
      </w:r>
      <w:r>
        <w:rPr>
          <w:rFonts w:hint="eastAsia"/>
          <w:lang w:eastAsia="zh-CN"/>
        </w:rPr>
        <w:t>以</w:t>
      </w:r>
      <w:r>
        <w:rPr>
          <w:rFonts w:hint="eastAsia"/>
        </w:rPr>
        <w:t>及会让意图；</w:t>
      </w:r>
    </w:p>
    <w:p>
      <w:pPr>
        <w:bidi w:val="0"/>
        <w:rPr>
          <w:rFonts w:hint="default"/>
        </w:rPr>
      </w:pPr>
      <w:r>
        <w:rPr>
          <w:rFonts w:hint="eastAsia"/>
        </w:rPr>
        <w:t>（三）遵守桥区水域的限速规定，保持安全航速航行；</w:t>
      </w:r>
    </w:p>
    <w:p>
      <w:pPr>
        <w:bidi w:val="0"/>
        <w:rPr>
          <w:rFonts w:hint="default"/>
          <w:lang w:val="en-US" w:eastAsia="zh-CN"/>
        </w:rPr>
      </w:pPr>
      <w:r>
        <w:rPr>
          <w:rFonts w:hint="eastAsia"/>
          <w:lang w:val="en-US" w:eastAsia="zh-CN"/>
        </w:rPr>
        <w:t>（四）从限定的通航桥孔通过。</w:t>
      </w:r>
    </w:p>
    <w:p>
      <w:pPr>
        <w:widowControl w:val="0"/>
        <w:bidi w:val="0"/>
        <w:ind w:firstLine="632" w:firstLineChars="200"/>
        <w:jc w:val="both"/>
        <w:rPr>
          <w:rFonts w:hint="default"/>
        </w:rPr>
      </w:pPr>
      <w:r>
        <w:rPr>
          <w:rFonts w:hint="eastAsia" w:eastAsia="黑体"/>
          <w:sz w:val="32"/>
          <w:lang w:eastAsia="zh-CN"/>
        </w:rPr>
        <w:t>第十二条</w:t>
      </w:r>
      <w:r>
        <w:rPr>
          <w:rFonts w:hint="eastAsia"/>
          <w:lang w:eastAsia="zh-CN"/>
        </w:rPr>
        <w:t>　</w:t>
      </w:r>
      <w:r>
        <w:rPr>
          <w:rFonts w:hint="eastAsia"/>
        </w:rPr>
        <w:t>船舶在桥区水域内禁止下列行为：</w:t>
      </w:r>
    </w:p>
    <w:p>
      <w:pPr>
        <w:bidi w:val="0"/>
        <w:rPr>
          <w:rFonts w:hint="default"/>
        </w:rPr>
      </w:pPr>
      <w:r>
        <w:rPr>
          <w:rFonts w:hint="eastAsia"/>
        </w:rPr>
        <w:t>（一）淌航、掉头、横越、追越、并列行驶；</w:t>
      </w:r>
    </w:p>
    <w:p>
      <w:pPr>
        <w:bidi w:val="0"/>
        <w:rPr>
          <w:rFonts w:hint="default"/>
        </w:rPr>
      </w:pPr>
      <w:r>
        <w:rPr>
          <w:rFonts w:hint="eastAsia"/>
        </w:rPr>
        <w:t>（二）编解队、锚泊、过驳、采砂、捕捞；</w:t>
      </w:r>
    </w:p>
    <w:p>
      <w:pPr>
        <w:bidi w:val="0"/>
        <w:rPr>
          <w:rFonts w:hint="default"/>
        </w:rPr>
      </w:pPr>
      <w:r>
        <w:rPr>
          <w:rFonts w:hint="eastAsia"/>
        </w:rPr>
        <w:t>（三）船舶罗经校验、试航船舶效用试验；</w:t>
      </w:r>
    </w:p>
    <w:p>
      <w:pPr>
        <w:bidi w:val="0"/>
        <w:rPr>
          <w:rFonts w:hint="default"/>
        </w:rPr>
      </w:pPr>
      <w:r>
        <w:rPr>
          <w:rFonts w:hint="eastAsia"/>
        </w:rPr>
        <w:t>（四）其他影响海上交通安全的行为。</w:t>
      </w:r>
    </w:p>
    <w:p>
      <w:pPr>
        <w:bidi w:val="0"/>
        <w:rPr>
          <w:rFonts w:hint="default"/>
          <w:lang w:val="en-US" w:eastAsia="zh-CN"/>
        </w:rPr>
      </w:pPr>
      <w:r>
        <w:rPr>
          <w:rFonts w:hint="eastAsia"/>
          <w:lang w:val="en-US" w:eastAsia="zh-CN"/>
        </w:rPr>
        <w:t>超过桥梁通航尺度的船舶禁止进入桥区水域。</w:t>
      </w:r>
    </w:p>
    <w:p>
      <w:pPr>
        <w:widowControl w:val="0"/>
        <w:bidi w:val="0"/>
        <w:ind w:firstLine="632" w:firstLineChars="200"/>
        <w:jc w:val="both"/>
        <w:rPr>
          <w:rFonts w:hint="default"/>
        </w:rPr>
      </w:pPr>
      <w:r>
        <w:rPr>
          <w:rFonts w:hint="eastAsia" w:eastAsia="黑体"/>
          <w:sz w:val="32"/>
          <w:lang w:eastAsia="zh-CN"/>
        </w:rPr>
        <w:t>第十三条</w:t>
      </w:r>
      <w:r>
        <w:rPr>
          <w:rFonts w:hint="eastAsia"/>
          <w:lang w:val="en-US" w:eastAsia="zh-CN"/>
        </w:rPr>
        <w:t>　</w:t>
      </w:r>
      <w:r>
        <w:rPr>
          <w:rFonts w:hint="eastAsia"/>
        </w:rPr>
        <w:t>船舶航经海上风电场、海上养殖平台、海上文旅、海上体育项目附近水域时，应当加强瞭望，谨慎驾驶。</w:t>
      </w:r>
    </w:p>
    <w:p>
      <w:pPr>
        <w:widowControl w:val="0"/>
        <w:bidi w:val="0"/>
        <w:ind w:firstLine="632" w:firstLineChars="200"/>
        <w:jc w:val="both"/>
        <w:rPr>
          <w:rFonts w:hint="default"/>
        </w:rPr>
      </w:pPr>
      <w:r>
        <w:rPr>
          <w:rFonts w:hint="eastAsia" w:eastAsia="黑体"/>
          <w:sz w:val="32"/>
          <w:lang w:eastAsia="zh-CN"/>
        </w:rPr>
        <w:t>第十四条</w:t>
      </w:r>
      <w:r>
        <w:rPr>
          <w:rFonts w:hint="eastAsia"/>
          <w:lang w:eastAsia="zh-CN"/>
        </w:rPr>
        <w:t>　</w:t>
      </w:r>
      <w:r>
        <w:rPr>
          <w:rFonts w:hint="eastAsia"/>
        </w:rPr>
        <w:t>在闽江口内港区水域航行的一百总吨以上内河船舶应当配备船舶自动识别系统，并按</w:t>
      </w:r>
      <w:r>
        <w:rPr>
          <w:rFonts w:hint="eastAsia"/>
          <w:lang w:eastAsia="zh-CN"/>
        </w:rPr>
        <w:t>照</w:t>
      </w:r>
      <w:r>
        <w:rPr>
          <w:rFonts w:hint="eastAsia"/>
        </w:rPr>
        <w:t>规定进行显示和记录。</w:t>
      </w:r>
    </w:p>
    <w:p>
      <w:pPr>
        <w:widowControl w:val="0"/>
        <w:bidi w:val="0"/>
        <w:ind w:firstLine="632" w:firstLineChars="200"/>
        <w:jc w:val="both"/>
        <w:rPr>
          <w:rFonts w:hint="default"/>
          <w:lang w:val="en-US" w:eastAsia="zh-CN"/>
        </w:rPr>
      </w:pPr>
      <w:r>
        <w:rPr>
          <w:rFonts w:hint="eastAsia" w:eastAsia="黑体"/>
          <w:sz w:val="32"/>
          <w:lang w:val="en-US" w:eastAsia="zh-CN"/>
        </w:rPr>
        <w:t>第十五条</w:t>
      </w:r>
      <w:r>
        <w:rPr>
          <w:rFonts w:hint="eastAsia"/>
          <w:lang w:val="en-US" w:eastAsia="zh-CN"/>
        </w:rPr>
        <w:t>　船舶试航应当按照船舶最低安全配员要求配备适任船员，参与试航的人员应当接受试航作业安全培训和救生、消防演练。</w:t>
      </w:r>
    </w:p>
    <w:p>
      <w:pPr>
        <w:widowControl w:val="0"/>
        <w:bidi w:val="0"/>
        <w:ind w:firstLine="632" w:firstLineChars="200"/>
        <w:jc w:val="both"/>
        <w:rPr>
          <w:rFonts w:hint="default"/>
        </w:rPr>
      </w:pPr>
      <w:r>
        <w:rPr>
          <w:rFonts w:hint="eastAsia" w:eastAsia="黑体"/>
          <w:sz w:val="32"/>
          <w:lang w:eastAsia="zh-CN"/>
        </w:rPr>
        <w:t>第十六条</w:t>
      </w:r>
      <w:r>
        <w:rPr>
          <w:rFonts w:hint="eastAsia"/>
          <w:lang w:val="en-US" w:eastAsia="zh-CN"/>
        </w:rPr>
        <w:t>　</w:t>
      </w:r>
      <w:r>
        <w:rPr>
          <w:rFonts w:hint="eastAsia"/>
        </w:rPr>
        <w:t>船舶应当根据本船的种类和吨位大小、吃水状况，在公布的锚地范围内锚泊，并服从海事管理机构指令。</w:t>
      </w:r>
    </w:p>
    <w:p>
      <w:pPr>
        <w:bidi w:val="0"/>
        <w:rPr>
          <w:rFonts w:hint="default"/>
        </w:rPr>
      </w:pPr>
      <w:r>
        <w:rPr>
          <w:rFonts w:hint="eastAsia"/>
        </w:rPr>
        <w:t>修造期间无动力的船舶不得在港口水域锚泊。</w:t>
      </w:r>
    </w:p>
    <w:p>
      <w:pPr>
        <w:bidi w:val="0"/>
        <w:rPr>
          <w:rFonts w:hint="default"/>
        </w:rPr>
      </w:pPr>
      <w:r>
        <w:rPr>
          <w:rFonts w:hint="eastAsia"/>
        </w:rPr>
        <w:t>禁止船舶在航道、掉头区、港池内和禁锚区锚泊。</w:t>
      </w:r>
    </w:p>
    <w:p>
      <w:pPr>
        <w:widowControl w:val="0"/>
        <w:bidi w:val="0"/>
        <w:ind w:firstLine="632" w:firstLineChars="200"/>
        <w:jc w:val="both"/>
        <w:rPr>
          <w:rFonts w:hint="default"/>
        </w:rPr>
      </w:pPr>
      <w:r>
        <w:rPr>
          <w:rFonts w:hint="eastAsia" w:eastAsia="黑体"/>
          <w:sz w:val="32"/>
          <w:lang w:eastAsia="zh-CN"/>
        </w:rPr>
        <w:t>第十七条</w:t>
      </w:r>
      <w:r>
        <w:rPr>
          <w:rFonts w:hint="eastAsia"/>
          <w:lang w:eastAsia="zh-CN"/>
        </w:rPr>
        <w:t>　</w:t>
      </w:r>
      <w:r>
        <w:rPr>
          <w:rFonts w:hint="eastAsia"/>
        </w:rPr>
        <w:t>港口经营人应当根据航道状况、码头设计靠泊能力和港池水域条件，安排具有足够水深、长度和相应设施的泊位供船舶靠泊。</w:t>
      </w:r>
    </w:p>
    <w:p>
      <w:pPr>
        <w:bidi w:val="0"/>
        <w:rPr>
          <w:rFonts w:hint="default"/>
        </w:rPr>
      </w:pPr>
      <w:r>
        <w:rPr>
          <w:rFonts w:hint="eastAsia"/>
        </w:rPr>
        <w:t>港口经营人应当确保码头设施不妨碍船舶靠离泊安全，并在船舶靠离泊前半小时清理码头前沿</w:t>
      </w:r>
      <w:r>
        <w:rPr>
          <w:rFonts w:hint="eastAsia"/>
          <w:lang w:eastAsia="zh-CN"/>
        </w:rPr>
        <w:t>以</w:t>
      </w:r>
      <w:r>
        <w:rPr>
          <w:rFonts w:hint="eastAsia"/>
        </w:rPr>
        <w:t>及掉头区域，按照规定显示信号。</w:t>
      </w:r>
    </w:p>
    <w:p>
      <w:pPr>
        <w:widowControl w:val="0"/>
        <w:bidi w:val="0"/>
        <w:ind w:firstLine="632" w:firstLineChars="200"/>
        <w:jc w:val="both"/>
        <w:rPr>
          <w:rFonts w:hint="default"/>
        </w:rPr>
      </w:pPr>
      <w:r>
        <w:rPr>
          <w:rFonts w:hint="eastAsia" w:eastAsia="黑体"/>
          <w:sz w:val="32"/>
          <w:lang w:eastAsia="zh-CN"/>
        </w:rPr>
        <w:t>第十八条</w:t>
      </w:r>
      <w:r>
        <w:rPr>
          <w:rFonts w:hint="eastAsia"/>
          <w:lang w:val="en-US" w:eastAsia="zh-CN"/>
        </w:rPr>
        <w:t>　</w:t>
      </w:r>
      <w:r>
        <w:rPr>
          <w:rFonts w:hint="eastAsia"/>
        </w:rPr>
        <w:t>进行供油、供电、供水、维修、过驳、船舶污染物收集等作业的船舶需要在码头并靠的，并靠宽度不得超过该码头的前沿停泊水域宽度。</w:t>
      </w:r>
    </w:p>
    <w:p>
      <w:pPr>
        <w:bidi w:val="0"/>
        <w:rPr>
          <w:rFonts w:hint="default"/>
          <w:lang w:val="en"/>
        </w:rPr>
      </w:pPr>
      <w:r>
        <w:rPr>
          <w:rFonts w:hint="eastAsia"/>
          <w:lang w:val="en"/>
        </w:rPr>
        <w:t>船舶并靠时，不得</w:t>
      </w:r>
      <w:r>
        <w:rPr>
          <w:rFonts w:hint="eastAsia"/>
        </w:rPr>
        <w:t>危及</w:t>
      </w:r>
      <w:r>
        <w:rPr>
          <w:rFonts w:hint="eastAsia"/>
          <w:lang w:val="en"/>
        </w:rPr>
        <w:t>其他船舶</w:t>
      </w:r>
      <w:r>
        <w:rPr>
          <w:rFonts w:hint="eastAsia"/>
        </w:rPr>
        <w:t>和港口设施</w:t>
      </w:r>
      <w:r>
        <w:rPr>
          <w:rFonts w:hint="eastAsia"/>
          <w:lang w:val="en"/>
        </w:rPr>
        <w:t>的安全，</w:t>
      </w:r>
      <w:r>
        <w:rPr>
          <w:rFonts w:hint="eastAsia"/>
        </w:rPr>
        <w:t>不得影响</w:t>
      </w:r>
      <w:r>
        <w:rPr>
          <w:rFonts w:hint="eastAsia"/>
          <w:lang w:val="en"/>
        </w:rPr>
        <w:t>附近水域的通航环境。</w:t>
      </w:r>
    </w:p>
    <w:p>
      <w:pPr>
        <w:bidi w:val="0"/>
        <w:rPr>
          <w:rFonts w:hint="default"/>
          <w:lang w:val="en"/>
        </w:rPr>
      </w:pPr>
      <w:r>
        <w:rPr>
          <w:rFonts w:hint="eastAsia"/>
        </w:rPr>
        <w:t>在闽江口内港区锚地并靠的船舶总宽度不得超过三十米。</w:t>
      </w:r>
    </w:p>
    <w:p>
      <w:pPr>
        <w:widowControl w:val="0"/>
        <w:bidi w:val="0"/>
        <w:ind w:firstLine="632" w:firstLineChars="200"/>
        <w:jc w:val="both"/>
        <w:rPr>
          <w:rFonts w:hint="default"/>
        </w:rPr>
      </w:pPr>
      <w:r>
        <w:rPr>
          <w:rFonts w:hint="eastAsia" w:eastAsia="黑体"/>
          <w:sz w:val="32"/>
          <w:lang w:eastAsia="zh-CN"/>
        </w:rPr>
        <w:t>第十九条</w:t>
      </w:r>
      <w:r>
        <w:rPr>
          <w:rFonts w:hint="eastAsia"/>
          <w:lang w:eastAsia="zh-CN"/>
        </w:rPr>
        <w:t>　</w:t>
      </w:r>
      <w:r>
        <w:rPr>
          <w:rFonts w:hint="eastAsia"/>
        </w:rPr>
        <w:t>船舶在锚地过驳作业</w:t>
      </w:r>
      <w:r>
        <w:rPr>
          <w:rFonts w:hint="eastAsia"/>
          <w:lang w:eastAsia="zh-CN"/>
        </w:rPr>
        <w:t>时</w:t>
      </w:r>
      <w:r>
        <w:rPr>
          <w:rFonts w:hint="eastAsia"/>
        </w:rPr>
        <w:t>，应当在相应的生产作业锚地内进行。生产作业锚地由有关单位依法划定，并通报海事管理机构，由海事管理机构及时向社会公布。</w:t>
      </w:r>
    </w:p>
    <w:p>
      <w:pPr>
        <w:widowControl w:val="0"/>
        <w:bidi w:val="0"/>
        <w:ind w:firstLine="632" w:firstLineChars="200"/>
        <w:jc w:val="both"/>
        <w:rPr>
          <w:rFonts w:hint="default"/>
        </w:rPr>
      </w:pPr>
      <w:r>
        <w:rPr>
          <w:rFonts w:hint="eastAsia" w:eastAsia="黑体"/>
          <w:sz w:val="32"/>
          <w:lang w:eastAsia="zh-CN"/>
        </w:rPr>
        <w:t>第二十条</w:t>
      </w:r>
      <w:r>
        <w:rPr>
          <w:rFonts w:hint="eastAsia"/>
          <w:lang w:eastAsia="zh-CN"/>
        </w:rPr>
        <w:t>　</w:t>
      </w:r>
      <w:r>
        <w:rPr>
          <w:rFonts w:hint="eastAsia"/>
        </w:rPr>
        <w:t>拖带船队在航行时，应当具有足以保证安全的避让和控制能力，正确显示拖带信号，悬挂标志，在港区水域拖带的航速不得少于二节。</w:t>
      </w:r>
    </w:p>
    <w:p>
      <w:pPr>
        <w:bidi w:val="0"/>
        <w:rPr>
          <w:rFonts w:hint="default"/>
        </w:rPr>
      </w:pPr>
      <w:r>
        <w:rPr>
          <w:rFonts w:hint="eastAsia"/>
        </w:rPr>
        <w:t>从事移动式平台、浮船坞等大型海上设施拖带作业的，应当采取符合海上交通安全要求的保障措施。</w:t>
      </w:r>
    </w:p>
    <w:p>
      <w:pPr>
        <w:widowControl w:val="0"/>
        <w:bidi w:val="0"/>
        <w:ind w:firstLine="632" w:firstLineChars="200"/>
        <w:jc w:val="both"/>
        <w:rPr>
          <w:rFonts w:hint="default"/>
        </w:rPr>
      </w:pPr>
      <w:r>
        <w:rPr>
          <w:rFonts w:hint="eastAsia" w:eastAsia="黑体"/>
          <w:sz w:val="32"/>
          <w:lang w:eastAsia="zh-CN"/>
        </w:rPr>
        <w:t>第二十一条</w:t>
      </w:r>
      <w:r>
        <w:rPr>
          <w:rFonts w:hint="eastAsia"/>
          <w:lang w:eastAsia="zh-CN"/>
        </w:rPr>
        <w:t>　</w:t>
      </w:r>
      <w:r>
        <w:rPr>
          <w:rFonts w:hint="eastAsia"/>
        </w:rPr>
        <w:t>从事水上水下施工作业的建设单位，应当按照规定设置警示标志，配备安全设施或者警戒船；设置水下管线的，还应当按照规定设置明显的禁锚标志。</w:t>
      </w:r>
    </w:p>
    <w:p>
      <w:pPr>
        <w:bidi w:val="0"/>
        <w:rPr>
          <w:rFonts w:hint="default"/>
        </w:rPr>
      </w:pPr>
      <w:r>
        <w:rPr>
          <w:rFonts w:hint="eastAsia"/>
        </w:rPr>
        <w:t>施工结束后，建设单位应当清除碍航物。</w:t>
      </w:r>
    </w:p>
    <w:p>
      <w:pPr>
        <w:widowControl w:val="0"/>
        <w:bidi w:val="0"/>
        <w:ind w:firstLine="632" w:firstLineChars="200"/>
        <w:jc w:val="both"/>
        <w:rPr>
          <w:rFonts w:hint="default"/>
        </w:rPr>
      </w:pPr>
      <w:r>
        <w:rPr>
          <w:rFonts w:hint="eastAsia" w:eastAsia="黑体"/>
          <w:sz w:val="32"/>
          <w:lang w:eastAsia="zh-CN"/>
        </w:rPr>
        <w:t>第二十二条</w:t>
      </w:r>
      <w:r>
        <w:rPr>
          <w:rFonts w:hint="eastAsia"/>
          <w:lang w:eastAsia="zh-CN"/>
        </w:rPr>
        <w:t>　</w:t>
      </w:r>
      <w:r>
        <w:rPr>
          <w:rFonts w:hint="eastAsia"/>
        </w:rPr>
        <w:t>禁止在航道、港池、锚地、推荐航线内进行养殖、种植、捕捞作业。</w:t>
      </w:r>
    </w:p>
    <w:p>
      <w:pPr>
        <w:pStyle w:val="15"/>
        <w:bidi w:val="0"/>
        <w:rPr>
          <w:rFonts w:hint="eastAsia"/>
          <w:lang w:eastAsia="zh-CN"/>
        </w:rPr>
      </w:pPr>
    </w:p>
    <w:p>
      <w:pPr>
        <w:pStyle w:val="5"/>
        <w:keepNext/>
        <w:keepLines/>
        <w:widowControl w:val="0"/>
        <w:bidi w:val="0"/>
        <w:spacing w:line="240" w:lineRule="auto"/>
        <w:ind w:firstLine="0" w:firstLineChars="0"/>
        <w:jc w:val="center"/>
        <w:outlineLvl w:val="2"/>
        <w:rPr>
          <w:rFonts w:hint="eastAsia"/>
          <w:lang w:eastAsia="zh-CN"/>
        </w:rPr>
      </w:pPr>
      <w:r>
        <w:rPr>
          <w:rFonts w:hint="eastAsia"/>
          <w:lang w:eastAsia="zh-CN"/>
        </w:rPr>
        <w:t>第三章　海上客货运输安全</w:t>
      </w:r>
    </w:p>
    <w:p>
      <w:pPr>
        <w:pStyle w:val="15"/>
        <w:bidi w:val="0"/>
        <w:rPr>
          <w:rFonts w:hint="eastAsia"/>
        </w:rPr>
      </w:pPr>
    </w:p>
    <w:p>
      <w:pPr>
        <w:widowControl w:val="0"/>
        <w:bidi w:val="0"/>
        <w:ind w:firstLine="632" w:firstLineChars="200"/>
        <w:jc w:val="both"/>
        <w:rPr>
          <w:rFonts w:hint="default"/>
        </w:rPr>
      </w:pPr>
      <w:r>
        <w:rPr>
          <w:rFonts w:hint="eastAsia" w:eastAsia="黑体"/>
          <w:sz w:val="32"/>
          <w:lang w:eastAsia="zh-CN"/>
        </w:rPr>
        <w:t>第二十三条</w:t>
      </w:r>
      <w:r>
        <w:rPr>
          <w:rFonts w:hint="eastAsia"/>
          <w:lang w:eastAsia="zh-CN"/>
        </w:rPr>
        <w:t>　</w:t>
      </w:r>
      <w:r>
        <w:rPr>
          <w:rFonts w:hint="eastAsia"/>
        </w:rPr>
        <w:t>客船应当按照规定的载客定额载运乘客，不得超载。</w:t>
      </w:r>
    </w:p>
    <w:p>
      <w:pPr>
        <w:bidi w:val="0"/>
        <w:rPr>
          <w:rFonts w:hint="default"/>
        </w:rPr>
      </w:pPr>
      <w:r>
        <w:rPr>
          <w:rFonts w:hint="eastAsia"/>
        </w:rPr>
        <w:t>货船应当符合规定的配载、系固、稳性、载重线的要求，不得超载航行。</w:t>
      </w:r>
    </w:p>
    <w:p>
      <w:pPr>
        <w:widowControl w:val="0"/>
        <w:bidi w:val="0"/>
        <w:ind w:firstLine="632" w:firstLineChars="200"/>
        <w:jc w:val="both"/>
        <w:rPr>
          <w:rFonts w:hint="default"/>
        </w:rPr>
      </w:pPr>
      <w:r>
        <w:rPr>
          <w:rFonts w:hint="eastAsia" w:eastAsia="黑体"/>
          <w:sz w:val="32"/>
          <w:lang w:eastAsia="zh-CN"/>
        </w:rPr>
        <w:t>第二十四条</w:t>
      </w:r>
      <w:r>
        <w:rPr>
          <w:rFonts w:hint="eastAsia"/>
          <w:lang w:eastAsia="zh-CN"/>
        </w:rPr>
        <w:t>　</w:t>
      </w:r>
      <w:r>
        <w:rPr>
          <w:rFonts w:hint="eastAsia"/>
        </w:rPr>
        <w:t>有下列天气情形之一的，海事管理机构应当对客船采取停航等交通管制措施，并向社会公告：</w:t>
      </w:r>
    </w:p>
    <w:p>
      <w:pPr>
        <w:bidi w:val="0"/>
        <w:rPr>
          <w:rFonts w:hint="default"/>
        </w:rPr>
      </w:pPr>
      <w:r>
        <w:rPr>
          <w:rFonts w:hint="eastAsia"/>
        </w:rPr>
        <w:t>（一）闽江口内港区水域能见距离不足五百米的；</w:t>
      </w:r>
    </w:p>
    <w:p>
      <w:pPr>
        <w:bidi w:val="0"/>
        <w:rPr>
          <w:rFonts w:hint="default"/>
        </w:rPr>
      </w:pPr>
      <w:r>
        <w:rPr>
          <w:rFonts w:hint="eastAsia"/>
        </w:rPr>
        <w:t>（二）罗源湾港区、松下港区、江阴港区水域能见距离不足一千米的；</w:t>
      </w:r>
    </w:p>
    <w:p>
      <w:pPr>
        <w:bidi w:val="0"/>
        <w:rPr>
          <w:rFonts w:hint="default"/>
        </w:rPr>
      </w:pPr>
      <w:r>
        <w:rPr>
          <w:rFonts w:hint="eastAsia"/>
        </w:rPr>
        <w:t>（三）“马尾</w:t>
      </w:r>
      <w:r>
        <w:rPr>
          <w:rFonts w:hint="default"/>
        </w:rPr>
        <w:t>—</w:t>
      </w:r>
      <w:r>
        <w:rPr>
          <w:rFonts w:hint="eastAsia"/>
        </w:rPr>
        <w:t>马祖”航线遇琅岐镇气象站预报蒲氏风级大于六级的；</w:t>
      </w:r>
    </w:p>
    <w:p>
      <w:pPr>
        <w:bidi w:val="0"/>
        <w:rPr>
          <w:rFonts w:hint="default"/>
        </w:rPr>
      </w:pPr>
      <w:r>
        <w:rPr>
          <w:rFonts w:hint="eastAsia"/>
        </w:rPr>
        <w:t>（四）“黄岐</w:t>
      </w:r>
      <w:r>
        <w:rPr>
          <w:rFonts w:hint="default"/>
        </w:rPr>
        <w:t>—</w:t>
      </w:r>
      <w:r>
        <w:rPr>
          <w:rFonts w:hint="eastAsia"/>
        </w:rPr>
        <w:t>马祖”航线遇黄湾岛气象站预报蒲氏风级大于七级的。</w:t>
      </w:r>
    </w:p>
    <w:p>
      <w:pPr>
        <w:widowControl w:val="0"/>
        <w:bidi w:val="0"/>
        <w:ind w:firstLine="632" w:firstLineChars="200"/>
        <w:jc w:val="both"/>
        <w:rPr>
          <w:rFonts w:hint="default"/>
        </w:rPr>
      </w:pPr>
      <w:r>
        <w:rPr>
          <w:rFonts w:hint="eastAsia" w:eastAsia="黑体"/>
          <w:sz w:val="32"/>
          <w:lang w:eastAsia="zh-CN"/>
        </w:rPr>
        <w:t>第二十五条</w:t>
      </w:r>
      <w:r>
        <w:rPr>
          <w:rFonts w:hint="eastAsia"/>
          <w:lang w:eastAsia="zh-CN"/>
        </w:rPr>
        <w:t>　</w:t>
      </w:r>
      <w:r>
        <w:rPr>
          <w:rFonts w:hint="eastAsia"/>
        </w:rPr>
        <w:t>载运危险货物的船舶应当持有有效的危险货物适装证书，制定应急预案，配备相应的消防、应急设备和器材。</w:t>
      </w:r>
    </w:p>
    <w:p>
      <w:pPr>
        <w:bidi w:val="0"/>
        <w:rPr>
          <w:rFonts w:hint="default"/>
        </w:rPr>
      </w:pPr>
      <w:r>
        <w:rPr>
          <w:rFonts w:hint="eastAsia"/>
        </w:rPr>
        <w:t>禁止装载剧毒化学品的船舶在长乐象屿码头以上水域航行、停泊和作业。</w:t>
      </w:r>
    </w:p>
    <w:p>
      <w:pPr>
        <w:bidi w:val="0"/>
        <w:rPr>
          <w:rFonts w:hint="default"/>
        </w:rPr>
      </w:pPr>
      <w:r>
        <w:rPr>
          <w:rFonts w:hint="eastAsia"/>
        </w:rPr>
        <w:t>禁止装载除剧毒化学品以外危险化学品的船舶在青洲大桥以上水域航行、停泊和作业。</w:t>
      </w:r>
    </w:p>
    <w:p>
      <w:pPr>
        <w:widowControl w:val="0"/>
        <w:bidi w:val="0"/>
        <w:ind w:firstLine="632" w:firstLineChars="200"/>
        <w:jc w:val="both"/>
        <w:rPr>
          <w:rFonts w:hint="default"/>
        </w:rPr>
      </w:pPr>
      <w:r>
        <w:rPr>
          <w:rFonts w:hint="eastAsia" w:eastAsia="黑体"/>
          <w:sz w:val="32"/>
          <w:lang w:eastAsia="zh-CN"/>
        </w:rPr>
        <w:t>第二十六条</w:t>
      </w:r>
      <w:r>
        <w:rPr>
          <w:rFonts w:hint="eastAsia"/>
          <w:lang w:eastAsia="zh-CN"/>
        </w:rPr>
        <w:t>　</w:t>
      </w:r>
      <w:r>
        <w:rPr>
          <w:rFonts w:hint="eastAsia"/>
        </w:rPr>
        <w:t>靠泊客船的码头或者设施应当具备船舶安全靠泊和乘客安全登离条件，制定防护措施，配备消防、救生设备，并在显著位置张贴安全须知、设立安全标志，维护乘客安全登离秩序。</w:t>
      </w:r>
    </w:p>
    <w:p>
      <w:pPr>
        <w:widowControl w:val="0"/>
        <w:bidi w:val="0"/>
        <w:ind w:firstLine="632" w:firstLineChars="200"/>
        <w:jc w:val="both"/>
        <w:rPr>
          <w:rFonts w:hint="default"/>
        </w:rPr>
      </w:pPr>
      <w:r>
        <w:rPr>
          <w:rFonts w:hint="eastAsia" w:eastAsia="黑体"/>
          <w:sz w:val="32"/>
          <w:lang w:eastAsia="zh-CN"/>
        </w:rPr>
        <w:t>第二十七条</w:t>
      </w:r>
      <w:r>
        <w:rPr>
          <w:rFonts w:hint="eastAsia"/>
          <w:lang w:eastAsia="zh-CN"/>
        </w:rPr>
        <w:t>　</w:t>
      </w:r>
      <w:r>
        <w:rPr>
          <w:rFonts w:hint="eastAsia"/>
        </w:rPr>
        <w:t>市人民政府应当科学、合理划定海上休闲活动区域，并向社会公布。</w:t>
      </w:r>
    </w:p>
    <w:p>
      <w:pPr>
        <w:bidi w:val="0"/>
        <w:rPr>
          <w:rFonts w:hint="default"/>
        </w:rPr>
      </w:pPr>
      <w:r>
        <w:rPr>
          <w:rFonts w:hint="eastAsia"/>
        </w:rPr>
        <w:t>海上休闲活动区域应当划定搜救船舶安全通道，保障搜救船舶进出畅通。</w:t>
      </w:r>
    </w:p>
    <w:p>
      <w:pPr>
        <w:widowControl w:val="0"/>
        <w:bidi w:val="0"/>
        <w:ind w:firstLine="632" w:firstLineChars="200"/>
        <w:jc w:val="both"/>
        <w:rPr>
          <w:rFonts w:hint="default"/>
        </w:rPr>
      </w:pPr>
      <w:r>
        <w:rPr>
          <w:rFonts w:hint="eastAsia" w:eastAsia="黑体"/>
          <w:sz w:val="32"/>
          <w:lang w:eastAsia="zh-CN"/>
        </w:rPr>
        <w:t>第二十八条</w:t>
      </w:r>
      <w:r>
        <w:rPr>
          <w:rFonts w:hint="eastAsia"/>
          <w:lang w:eastAsia="zh-CN"/>
        </w:rPr>
        <w:t>　</w:t>
      </w:r>
      <w:r>
        <w:rPr>
          <w:rFonts w:hint="eastAsia"/>
        </w:rPr>
        <w:t>休闲船舶、靠泊休闲船舶的码头或者设施的所有人</w:t>
      </w:r>
      <w:r>
        <w:rPr>
          <w:rFonts w:hint="eastAsia"/>
          <w:lang w:eastAsia="zh-CN"/>
        </w:rPr>
        <w:t>、</w:t>
      </w:r>
      <w:r>
        <w:rPr>
          <w:rFonts w:hint="eastAsia"/>
        </w:rPr>
        <w:t>经营人</w:t>
      </w:r>
      <w:r>
        <w:rPr>
          <w:rFonts w:hint="eastAsia"/>
          <w:lang w:eastAsia="zh-CN"/>
        </w:rPr>
        <w:t>或者管理人</w:t>
      </w:r>
      <w:r>
        <w:rPr>
          <w:rFonts w:hint="eastAsia"/>
        </w:rPr>
        <w:t>应当制定应急预案，开展应急演练，采取措施保证乘客安全。</w:t>
      </w:r>
    </w:p>
    <w:p>
      <w:pPr>
        <w:widowControl w:val="0"/>
        <w:bidi w:val="0"/>
        <w:ind w:firstLine="632" w:firstLineChars="200"/>
        <w:jc w:val="both"/>
        <w:rPr>
          <w:rFonts w:hint="default"/>
        </w:rPr>
      </w:pPr>
      <w:r>
        <w:rPr>
          <w:rFonts w:hint="eastAsia" w:eastAsia="黑体"/>
          <w:sz w:val="32"/>
          <w:lang w:eastAsia="zh-CN"/>
        </w:rPr>
        <w:t>第二十九条</w:t>
      </w:r>
      <w:r>
        <w:rPr>
          <w:rFonts w:hint="eastAsia"/>
          <w:lang w:val="en-US" w:eastAsia="zh-CN"/>
        </w:rPr>
        <w:t>　</w:t>
      </w:r>
      <w:r>
        <w:rPr>
          <w:rFonts w:hint="eastAsia"/>
        </w:rPr>
        <w:t>休闲船舶在开航前应当开展安全检查，确认船舶处于适航状态，掌握通航保障、气象、海况等航行信息，并在划定的区域内活动。</w:t>
      </w:r>
    </w:p>
    <w:p>
      <w:pPr>
        <w:bidi w:val="0"/>
        <w:rPr>
          <w:rFonts w:hint="default"/>
        </w:rPr>
      </w:pPr>
      <w:r>
        <w:rPr>
          <w:rFonts w:hint="eastAsia"/>
        </w:rPr>
        <w:t>开敞式休闲船舶的乘客应当穿着救生衣。</w:t>
      </w:r>
    </w:p>
    <w:p>
      <w:pPr>
        <w:bidi w:val="0"/>
        <w:rPr>
          <w:rFonts w:hint="default"/>
        </w:rPr>
      </w:pPr>
      <w:r>
        <w:rPr>
          <w:rFonts w:hint="eastAsia"/>
        </w:rPr>
        <w:t>不具备夜航条件的休闲船舶，不得在日落后日出前出海航行。</w:t>
      </w:r>
    </w:p>
    <w:p>
      <w:pPr>
        <w:pStyle w:val="15"/>
        <w:bidi w:val="0"/>
        <w:rPr>
          <w:rFonts w:hint="eastAsia"/>
          <w:lang w:eastAsia="zh-CN"/>
        </w:rPr>
      </w:pPr>
    </w:p>
    <w:p>
      <w:pPr>
        <w:pStyle w:val="5"/>
        <w:keepNext/>
        <w:keepLines/>
        <w:widowControl w:val="0"/>
        <w:bidi w:val="0"/>
        <w:spacing w:line="240" w:lineRule="auto"/>
        <w:ind w:firstLine="0" w:firstLineChars="0"/>
        <w:jc w:val="center"/>
        <w:outlineLvl w:val="2"/>
        <w:rPr>
          <w:rFonts w:hint="eastAsia"/>
          <w:lang w:eastAsia="zh-CN"/>
        </w:rPr>
      </w:pPr>
      <w:r>
        <w:rPr>
          <w:rFonts w:hint="eastAsia"/>
          <w:lang w:eastAsia="zh-CN"/>
        </w:rPr>
        <w:t>第四章　海上搜寻救助</w:t>
      </w:r>
    </w:p>
    <w:p>
      <w:pPr>
        <w:pStyle w:val="15"/>
        <w:bidi w:val="0"/>
        <w:rPr>
          <w:rFonts w:hint="eastAsia"/>
        </w:rPr>
      </w:pPr>
    </w:p>
    <w:p>
      <w:pPr>
        <w:widowControl w:val="0"/>
        <w:bidi w:val="0"/>
        <w:ind w:firstLine="632" w:firstLineChars="200"/>
        <w:jc w:val="both"/>
        <w:rPr>
          <w:rFonts w:hint="default"/>
        </w:rPr>
      </w:pPr>
      <w:r>
        <w:rPr>
          <w:rFonts w:hint="eastAsia" w:eastAsia="黑体"/>
          <w:sz w:val="32"/>
          <w:lang w:eastAsia="zh-CN"/>
        </w:rPr>
        <w:t>第三十条</w:t>
      </w:r>
      <w:r>
        <w:rPr>
          <w:rFonts w:hint="eastAsia"/>
          <w:lang w:eastAsia="zh-CN"/>
        </w:rPr>
        <w:t>　</w:t>
      </w:r>
      <w:r>
        <w:rPr>
          <w:rFonts w:hint="eastAsia"/>
        </w:rPr>
        <w:t>市、沿海县（市、区）以及台江区人民政府应当依法建立海上搜救中心。</w:t>
      </w:r>
    </w:p>
    <w:p>
      <w:pPr>
        <w:bidi w:val="0"/>
        <w:rPr>
          <w:rFonts w:hint="default"/>
        </w:rPr>
      </w:pPr>
      <w:r>
        <w:rPr>
          <w:rFonts w:hint="eastAsia"/>
        </w:rPr>
        <w:t>海上搜救中心由海事、交通运输、港口管理、应急管理、海洋与渔业、公安、海警、生态环境、卫生健康等有关单位组成，负责海上交通事故和险情应急救援的组织、协调和指挥，其日常工作由海事管理机构负责。</w:t>
      </w:r>
    </w:p>
    <w:p>
      <w:pPr>
        <w:widowControl w:val="0"/>
        <w:bidi w:val="0"/>
        <w:ind w:firstLine="632" w:firstLineChars="200"/>
        <w:jc w:val="both"/>
        <w:rPr>
          <w:rFonts w:hint="default"/>
          <w:lang w:val="en-US" w:eastAsia="zh-CN"/>
        </w:rPr>
      </w:pPr>
      <w:r>
        <w:rPr>
          <w:rFonts w:hint="eastAsia" w:eastAsia="黑体"/>
          <w:sz w:val="32"/>
          <w:lang w:val="en-US" w:eastAsia="zh-CN"/>
        </w:rPr>
        <w:t>第三十一条</w:t>
      </w:r>
      <w:r>
        <w:rPr>
          <w:rFonts w:hint="eastAsia"/>
          <w:lang w:val="en-US" w:eastAsia="zh-CN"/>
        </w:rPr>
        <w:t>　海上搜救中心应当编制海上搜寻救助应急预案，经本级人民政府批准后实施，报上级海上搜救中心备案。</w:t>
      </w:r>
    </w:p>
    <w:p>
      <w:pPr>
        <w:bidi w:val="0"/>
        <w:rPr>
          <w:rFonts w:hint="default"/>
          <w:lang w:val="en-US" w:eastAsia="zh-CN"/>
        </w:rPr>
      </w:pPr>
      <w:r>
        <w:rPr>
          <w:rFonts w:hint="eastAsia"/>
          <w:lang w:val="en-US" w:eastAsia="zh-CN"/>
        </w:rPr>
        <w:t>海上搜救中心成员单位应当根据本级海上搜寻救助应急预案，建立健全海上险情应急反应制度，报本级海上搜救中心备案。</w:t>
      </w:r>
    </w:p>
    <w:p>
      <w:pPr>
        <w:widowControl w:val="0"/>
        <w:bidi w:val="0"/>
        <w:ind w:firstLine="632" w:firstLineChars="200"/>
        <w:jc w:val="both"/>
        <w:rPr>
          <w:rFonts w:hint="default"/>
          <w:lang w:val="en-US" w:eastAsia="zh-CN"/>
        </w:rPr>
      </w:pPr>
      <w:r>
        <w:rPr>
          <w:rFonts w:hint="eastAsia" w:eastAsia="黑体"/>
          <w:sz w:val="32"/>
          <w:lang w:val="en-US" w:eastAsia="zh-CN"/>
        </w:rPr>
        <w:t>第三十二条</w:t>
      </w:r>
      <w:r>
        <w:rPr>
          <w:rFonts w:hint="eastAsia"/>
          <w:lang w:val="en-US" w:eastAsia="zh-CN"/>
        </w:rPr>
        <w:t>　船舶所有人、经营人或者管理人对航行中失去控制或者遇有沉没危险的船舶，应当立即采取措施驶离或者拖离航道。</w:t>
      </w:r>
    </w:p>
    <w:p>
      <w:pPr>
        <w:widowControl w:val="0"/>
        <w:bidi w:val="0"/>
        <w:ind w:firstLine="632" w:firstLineChars="200"/>
        <w:jc w:val="both"/>
        <w:rPr>
          <w:rFonts w:hint="default"/>
        </w:rPr>
      </w:pPr>
      <w:r>
        <w:rPr>
          <w:rFonts w:hint="eastAsia" w:eastAsia="黑体"/>
          <w:sz w:val="32"/>
          <w:lang w:eastAsia="zh-CN"/>
        </w:rPr>
        <w:t>第三十三条</w:t>
      </w:r>
      <w:r>
        <w:rPr>
          <w:rFonts w:hint="eastAsia"/>
          <w:lang w:eastAsia="zh-CN"/>
        </w:rPr>
        <w:t>　</w:t>
      </w:r>
      <w:r>
        <w:rPr>
          <w:rFonts w:hint="eastAsia"/>
        </w:rPr>
        <w:t>船舶、海上设施遇险时，应当发出遇险报警信号，积极组织自救互救，并立即报告海上搜救中心。</w:t>
      </w:r>
    </w:p>
    <w:p>
      <w:pPr>
        <w:bidi w:val="0"/>
        <w:rPr>
          <w:rFonts w:hint="default"/>
        </w:rPr>
      </w:pPr>
      <w:r>
        <w:rPr>
          <w:rFonts w:hint="eastAsia"/>
        </w:rPr>
        <w:t>附近的船舶、海上设施收到求救信号或者发现有人遭遇生命危险时，在不严重危及自身安全的情况下，应当尽力救助，并立即报告海上搜救中心，服从海上搜救中心的统一指挥。</w:t>
      </w:r>
    </w:p>
    <w:p>
      <w:pPr>
        <w:widowControl w:val="0"/>
        <w:bidi w:val="0"/>
        <w:ind w:firstLine="632" w:firstLineChars="200"/>
        <w:jc w:val="both"/>
        <w:rPr>
          <w:rFonts w:hint="default"/>
        </w:rPr>
      </w:pPr>
      <w:r>
        <w:rPr>
          <w:rFonts w:hint="eastAsia" w:eastAsia="黑体"/>
          <w:sz w:val="32"/>
          <w:lang w:eastAsia="zh-CN"/>
        </w:rPr>
        <w:t>第三十四条</w:t>
      </w:r>
      <w:r>
        <w:rPr>
          <w:rFonts w:hint="eastAsia"/>
          <w:lang w:val="en-US" w:eastAsia="zh-CN"/>
        </w:rPr>
        <w:t>　</w:t>
      </w:r>
      <w:r>
        <w:rPr>
          <w:rFonts w:hint="eastAsia"/>
        </w:rPr>
        <w:t>海上搜救中心接到海上险情报告后，应当立即进行核实，并开展搜救行动。</w:t>
      </w:r>
    </w:p>
    <w:p>
      <w:pPr>
        <w:bidi w:val="0"/>
        <w:rPr>
          <w:rFonts w:hint="default"/>
        </w:rPr>
      </w:pPr>
      <w:r>
        <w:rPr>
          <w:rFonts w:hint="eastAsia"/>
        </w:rPr>
        <w:t>公务船舶和有救助能力的船舶，接到海上搜救中心的通知后，在不严重危及自身安全的情况下，必须服从调遣，参加海上搜救工作。</w:t>
      </w:r>
    </w:p>
    <w:p>
      <w:pPr>
        <w:bidi w:val="0"/>
        <w:rPr>
          <w:rFonts w:hint="default"/>
        </w:rPr>
      </w:pPr>
      <w:r>
        <w:rPr>
          <w:rFonts w:hint="eastAsia"/>
        </w:rPr>
        <w:t>未经海上搜救中心同意或者宣布结束搜救行动，参加搜救的船舶、海上设施和人员不得擅自退出搜救行动。</w:t>
      </w:r>
    </w:p>
    <w:p>
      <w:pPr>
        <w:widowControl w:val="0"/>
        <w:bidi w:val="0"/>
        <w:ind w:firstLine="632" w:firstLineChars="200"/>
        <w:jc w:val="both"/>
        <w:rPr>
          <w:rFonts w:hint="default"/>
        </w:rPr>
      </w:pPr>
      <w:r>
        <w:rPr>
          <w:rFonts w:hint="eastAsia" w:eastAsia="黑体"/>
          <w:sz w:val="32"/>
          <w:lang w:eastAsia="zh-CN"/>
        </w:rPr>
        <w:t>第三十五条</w:t>
      </w:r>
      <w:r>
        <w:rPr>
          <w:rFonts w:hint="eastAsia"/>
          <w:lang w:eastAsia="zh-CN"/>
        </w:rPr>
        <w:t>　</w:t>
      </w:r>
      <w:r>
        <w:rPr>
          <w:rFonts w:hint="eastAsia"/>
        </w:rPr>
        <w:t>船舶、海上设施沉没并危及海上交通安全的，其所有人、经营人或者管理人应当按照规定设置警示标志，立即报告海事管理机构，并在限定的期限内打捞清除。</w:t>
      </w:r>
    </w:p>
    <w:p>
      <w:pPr>
        <w:widowControl w:val="0"/>
        <w:bidi w:val="0"/>
        <w:ind w:firstLine="632" w:firstLineChars="200"/>
        <w:jc w:val="both"/>
        <w:rPr>
          <w:rFonts w:hint="default"/>
        </w:rPr>
      </w:pPr>
      <w:r>
        <w:rPr>
          <w:rFonts w:hint="eastAsia" w:eastAsia="黑体"/>
          <w:sz w:val="32"/>
          <w:lang w:eastAsia="zh-CN"/>
        </w:rPr>
        <w:t>第三十六条</w:t>
      </w:r>
      <w:r>
        <w:rPr>
          <w:rFonts w:hint="eastAsia"/>
          <w:lang w:eastAsia="zh-CN"/>
        </w:rPr>
        <w:t>　</w:t>
      </w:r>
      <w:r>
        <w:rPr>
          <w:rFonts w:hint="eastAsia"/>
        </w:rPr>
        <w:t>市、沿海县（市、区）人民政府应当建立海上污染和危险化学品事故应急救援协调机制，制定应急预案，配备必要的设施设备，组建专业应急救援队伍，定期组织应急演练。</w:t>
      </w:r>
    </w:p>
    <w:p>
      <w:pPr>
        <w:widowControl w:val="0"/>
        <w:bidi w:val="0"/>
        <w:ind w:firstLine="632" w:firstLineChars="200"/>
        <w:jc w:val="both"/>
        <w:rPr>
          <w:rFonts w:hint="default"/>
        </w:rPr>
      </w:pPr>
      <w:r>
        <w:rPr>
          <w:rFonts w:hint="eastAsia" w:eastAsia="黑体"/>
          <w:sz w:val="32"/>
          <w:lang w:eastAsia="zh-CN"/>
        </w:rPr>
        <w:t>第三十七条</w:t>
      </w:r>
      <w:r>
        <w:rPr>
          <w:rFonts w:hint="eastAsia"/>
          <w:lang w:eastAsia="zh-CN"/>
        </w:rPr>
        <w:t>　</w:t>
      </w:r>
      <w:r>
        <w:rPr>
          <w:rFonts w:hint="eastAsia"/>
        </w:rPr>
        <w:t>船舶、海上设施发生溢油或者危险化学品事故时，其所有人、经营人或者管理人应当立即向海上搜救中心报告。</w:t>
      </w:r>
    </w:p>
    <w:p>
      <w:pPr>
        <w:bidi w:val="0"/>
        <w:rPr>
          <w:rFonts w:hint="default"/>
        </w:rPr>
      </w:pPr>
      <w:r>
        <w:rPr>
          <w:rFonts w:hint="eastAsia"/>
        </w:rPr>
        <w:t>海上搜救中心应当采取必要的应急处置措施，救治受害人员，控制危害源，减少环境污染。</w:t>
      </w:r>
    </w:p>
    <w:p>
      <w:pPr>
        <w:pStyle w:val="15"/>
        <w:bidi w:val="0"/>
        <w:rPr>
          <w:rFonts w:hint="eastAsia"/>
          <w:lang w:eastAsia="zh-CN"/>
        </w:rPr>
      </w:pPr>
    </w:p>
    <w:p>
      <w:pPr>
        <w:pStyle w:val="5"/>
        <w:keepNext/>
        <w:keepLines/>
        <w:widowControl w:val="0"/>
        <w:bidi w:val="0"/>
        <w:spacing w:line="240" w:lineRule="auto"/>
        <w:ind w:firstLine="0" w:firstLineChars="0"/>
        <w:jc w:val="center"/>
        <w:outlineLvl w:val="2"/>
        <w:rPr>
          <w:rFonts w:hint="eastAsia"/>
          <w:lang w:eastAsia="zh-CN"/>
        </w:rPr>
      </w:pPr>
      <w:r>
        <w:rPr>
          <w:rFonts w:hint="eastAsia"/>
          <w:lang w:eastAsia="zh-CN"/>
        </w:rPr>
        <w:t>第五章　海上交通安全保障</w:t>
      </w:r>
    </w:p>
    <w:p>
      <w:pPr>
        <w:pStyle w:val="15"/>
        <w:bidi w:val="0"/>
        <w:rPr>
          <w:rFonts w:hint="eastAsia"/>
        </w:rPr>
      </w:pPr>
    </w:p>
    <w:p>
      <w:pPr>
        <w:widowControl w:val="0"/>
        <w:bidi w:val="0"/>
        <w:ind w:firstLine="632" w:firstLineChars="200"/>
        <w:jc w:val="both"/>
        <w:rPr>
          <w:rFonts w:hint="default"/>
        </w:rPr>
      </w:pPr>
      <w:r>
        <w:rPr>
          <w:rFonts w:hint="eastAsia" w:eastAsia="黑体"/>
          <w:sz w:val="32"/>
          <w:lang w:eastAsia="zh-CN"/>
        </w:rPr>
        <w:t>第三十八条</w:t>
      </w:r>
      <w:r>
        <w:rPr>
          <w:rFonts w:hint="eastAsia"/>
          <w:lang w:eastAsia="zh-CN"/>
        </w:rPr>
        <w:t>　</w:t>
      </w:r>
      <w:r>
        <w:rPr>
          <w:rFonts w:hint="eastAsia"/>
        </w:rPr>
        <w:t>海事管理机构应当根据海上交通安全需要，及时发布航行警告或者航行通告，并向船舶、海上设施播发海上交通安全信息。</w:t>
      </w:r>
    </w:p>
    <w:p>
      <w:pPr>
        <w:widowControl w:val="0"/>
        <w:bidi w:val="0"/>
        <w:ind w:firstLine="632" w:firstLineChars="200"/>
        <w:jc w:val="both"/>
        <w:rPr>
          <w:rFonts w:hint="default"/>
        </w:rPr>
      </w:pPr>
      <w:r>
        <w:rPr>
          <w:rFonts w:hint="eastAsia" w:eastAsia="黑体"/>
          <w:sz w:val="32"/>
          <w:lang w:eastAsia="zh-CN"/>
        </w:rPr>
        <w:t>第三十九条</w:t>
      </w:r>
      <w:r>
        <w:rPr>
          <w:rFonts w:hint="eastAsia"/>
          <w:lang w:eastAsia="zh-CN"/>
        </w:rPr>
        <w:t>　</w:t>
      </w:r>
      <w:r>
        <w:rPr>
          <w:rFonts w:hint="eastAsia"/>
        </w:rPr>
        <w:t>建设海上风电场、海上养殖平台、海上文旅、海上体育等涉海项目，其规划选址应当符合国土空间规划，与港口航运、海上通航管理和航海保障等专项规划相衔接，并征求海事管理机构和港口管理部门的意见。</w:t>
      </w:r>
    </w:p>
    <w:p>
      <w:pPr>
        <w:widowControl w:val="0"/>
        <w:bidi w:val="0"/>
        <w:ind w:firstLine="632" w:firstLineChars="200"/>
        <w:jc w:val="both"/>
        <w:rPr>
          <w:rFonts w:hint="default"/>
        </w:rPr>
      </w:pPr>
      <w:r>
        <w:rPr>
          <w:rFonts w:hint="eastAsia" w:eastAsia="黑体"/>
          <w:sz w:val="32"/>
          <w:lang w:eastAsia="zh-CN"/>
        </w:rPr>
        <w:t>第四十条</w:t>
      </w:r>
      <w:r>
        <w:rPr>
          <w:rFonts w:hint="eastAsia"/>
          <w:lang w:eastAsia="zh-CN"/>
        </w:rPr>
        <w:t>　</w:t>
      </w:r>
      <w:r>
        <w:rPr>
          <w:rFonts w:hint="eastAsia"/>
        </w:rPr>
        <w:t>新建、改建或者扩建港口、海上设施时，应当配套建设安全设施，并与主体工程同时设计、同时施工、同时投入使用。</w:t>
      </w:r>
    </w:p>
    <w:p>
      <w:pPr>
        <w:bidi w:val="0"/>
        <w:rPr>
          <w:rFonts w:hint="default"/>
        </w:rPr>
      </w:pPr>
      <w:r>
        <w:rPr>
          <w:rFonts w:hint="eastAsia"/>
        </w:rPr>
        <w:t>港口、海上设施投入使用前，</w:t>
      </w:r>
      <w:r>
        <w:rPr>
          <w:rFonts w:hint="eastAsia"/>
          <w:lang w:eastAsia="zh-CN"/>
        </w:rPr>
        <w:t>建设单位</w:t>
      </w:r>
      <w:r>
        <w:rPr>
          <w:rFonts w:hint="eastAsia"/>
        </w:rPr>
        <w:t>应当向海事管理机构报备泊位吨级、水深扫测图等与船舶安全航行、靠离泊有关的技术参数。</w:t>
      </w:r>
    </w:p>
    <w:p>
      <w:pPr>
        <w:widowControl w:val="0"/>
        <w:bidi w:val="0"/>
        <w:ind w:firstLine="632" w:firstLineChars="200"/>
        <w:jc w:val="both"/>
        <w:rPr>
          <w:rFonts w:hint="default"/>
        </w:rPr>
      </w:pPr>
      <w:r>
        <w:rPr>
          <w:rFonts w:hint="eastAsia" w:eastAsia="黑体"/>
          <w:sz w:val="32"/>
          <w:lang w:eastAsia="zh-CN"/>
        </w:rPr>
        <w:t>第四十一条</w:t>
      </w:r>
      <w:r>
        <w:rPr>
          <w:rFonts w:hint="eastAsia"/>
          <w:lang w:val="en-US" w:eastAsia="zh-CN"/>
        </w:rPr>
        <w:t>　</w:t>
      </w:r>
      <w:r>
        <w:rPr>
          <w:rFonts w:hint="eastAsia"/>
        </w:rPr>
        <w:t>桥梁应当设置防撞设施以及助航、桥梁警示等安全标志。</w:t>
      </w:r>
    </w:p>
    <w:p>
      <w:pPr>
        <w:widowControl w:val="0"/>
        <w:bidi w:val="0"/>
        <w:ind w:firstLine="632" w:firstLineChars="200"/>
        <w:jc w:val="both"/>
        <w:rPr>
          <w:rFonts w:hint="default"/>
        </w:rPr>
      </w:pPr>
      <w:r>
        <w:rPr>
          <w:rFonts w:hint="eastAsia" w:eastAsia="黑体"/>
          <w:sz w:val="32"/>
          <w:lang w:eastAsia="zh-CN"/>
        </w:rPr>
        <w:t>第四十二条</w:t>
      </w:r>
      <w:r>
        <w:rPr>
          <w:rFonts w:hint="eastAsia"/>
          <w:lang w:eastAsia="zh-CN"/>
        </w:rPr>
        <w:t>　</w:t>
      </w:r>
      <w:r>
        <w:rPr>
          <w:rFonts w:hint="eastAsia"/>
        </w:rPr>
        <w:t>航标维护单位和专用航标的所有人应当对航标进行巡查和维护保养，保证航标处于良好适用状态。</w:t>
      </w:r>
    </w:p>
    <w:p>
      <w:pPr>
        <w:bidi w:val="0"/>
        <w:rPr>
          <w:rFonts w:hint="default"/>
        </w:rPr>
      </w:pPr>
      <w:r>
        <w:rPr>
          <w:rFonts w:hint="eastAsia"/>
        </w:rPr>
        <w:t>航标发生位移、损坏、灭失的，航标维护单位或者专用航标的所有人应当及时采取措施，予以恢复。</w:t>
      </w:r>
    </w:p>
    <w:p>
      <w:pPr>
        <w:widowControl w:val="0"/>
        <w:bidi w:val="0"/>
        <w:ind w:firstLine="632" w:firstLineChars="200"/>
        <w:jc w:val="both"/>
        <w:rPr>
          <w:rFonts w:hint="default"/>
        </w:rPr>
      </w:pPr>
      <w:r>
        <w:rPr>
          <w:rFonts w:hint="eastAsia" w:eastAsia="黑体"/>
          <w:sz w:val="32"/>
          <w:lang w:eastAsia="zh-CN"/>
        </w:rPr>
        <w:t>第四十三条</w:t>
      </w:r>
      <w:r>
        <w:rPr>
          <w:rFonts w:hint="eastAsia"/>
          <w:lang w:val="en-US" w:eastAsia="zh-CN"/>
        </w:rPr>
        <w:t>　</w:t>
      </w:r>
      <w:r>
        <w:rPr>
          <w:rFonts w:hint="eastAsia"/>
        </w:rPr>
        <w:t>航道管理机构应当委托有资质的测绘机构定期对航道的水深进行测量，其中闽江口内港区每半年一次，罗源湾港区、松下港区、江阴港区每年一次。测量结果应当及时向社会公布，并</w:t>
      </w:r>
      <w:r>
        <w:rPr>
          <w:rFonts w:hint="eastAsia"/>
          <w:lang w:eastAsia="zh-CN"/>
        </w:rPr>
        <w:t>报告</w:t>
      </w:r>
      <w:r>
        <w:rPr>
          <w:rFonts w:hint="eastAsia"/>
        </w:rPr>
        <w:t>海事管理机构。</w:t>
      </w:r>
    </w:p>
    <w:p>
      <w:pPr>
        <w:bidi w:val="0"/>
        <w:rPr>
          <w:rFonts w:hint="default"/>
        </w:rPr>
      </w:pPr>
      <w:r>
        <w:rPr>
          <w:rFonts w:hint="eastAsia"/>
        </w:rPr>
        <w:t>港口经营人应当委托有资质的测绘机构</w:t>
      </w:r>
      <w:r>
        <w:rPr>
          <w:rFonts w:hint="eastAsia"/>
          <w:lang w:eastAsia="zh-CN"/>
        </w:rPr>
        <w:t>每年</w:t>
      </w:r>
      <w:r>
        <w:rPr>
          <w:rFonts w:hint="eastAsia"/>
        </w:rPr>
        <w:t>对港口水域的水深进行测量，并将测量结果报告海事管理机构和港口管理部门，由海事管理机构及时向社会公布。</w:t>
      </w:r>
    </w:p>
    <w:p>
      <w:pPr>
        <w:bidi w:val="0"/>
        <w:rPr>
          <w:rFonts w:hint="default"/>
        </w:rPr>
      </w:pPr>
      <w:r>
        <w:rPr>
          <w:rFonts w:hint="eastAsia"/>
        </w:rPr>
        <w:t>航道、港口水域应当保持安全水深。水深发生变化的，航道管理机构或者港口经营人应当报告海事管理机构和港口管理部门，并采取措施恢复正常状态。</w:t>
      </w:r>
    </w:p>
    <w:p>
      <w:pPr>
        <w:widowControl w:val="0"/>
        <w:bidi w:val="0"/>
        <w:ind w:firstLine="632" w:firstLineChars="200"/>
        <w:jc w:val="both"/>
        <w:rPr>
          <w:rFonts w:hint="default"/>
        </w:rPr>
      </w:pPr>
      <w:r>
        <w:rPr>
          <w:rFonts w:hint="eastAsia" w:eastAsia="黑体"/>
          <w:sz w:val="32"/>
          <w:lang w:eastAsia="zh-CN"/>
        </w:rPr>
        <w:t>第四十四条</w:t>
      </w:r>
      <w:r>
        <w:rPr>
          <w:rFonts w:hint="eastAsia"/>
          <w:lang w:eastAsia="zh-CN"/>
        </w:rPr>
        <w:t>　</w:t>
      </w:r>
      <w:r>
        <w:rPr>
          <w:rFonts w:hint="eastAsia"/>
        </w:rPr>
        <w:t>海事管理机构应当公布船舶碰撞高风险警示区，会同海洋与渔业等有关单位开展该水域巡航执法、防范船舶碰撞宣传教育，提升船员规范航行操作水平和安全意识。</w:t>
      </w:r>
    </w:p>
    <w:p>
      <w:pPr>
        <w:widowControl w:val="0"/>
        <w:bidi w:val="0"/>
        <w:ind w:firstLine="632" w:firstLineChars="200"/>
        <w:jc w:val="both"/>
        <w:rPr>
          <w:rFonts w:hint="default"/>
        </w:rPr>
      </w:pPr>
      <w:r>
        <w:rPr>
          <w:rFonts w:hint="eastAsia" w:eastAsia="黑体"/>
          <w:sz w:val="32"/>
          <w:lang w:eastAsia="zh-CN"/>
        </w:rPr>
        <w:t>第四十五条</w:t>
      </w:r>
      <w:r>
        <w:rPr>
          <w:rFonts w:hint="eastAsia"/>
          <w:lang w:eastAsia="zh-CN"/>
        </w:rPr>
        <w:t>　</w:t>
      </w:r>
      <w:r>
        <w:rPr>
          <w:rFonts w:hint="eastAsia"/>
        </w:rPr>
        <w:t>根据防台风预警等级和应急需要，海事管理机构应当采取海上交通秩序管控、停止水上水下活动等措施。</w:t>
      </w:r>
    </w:p>
    <w:p>
      <w:pPr>
        <w:widowControl w:val="0"/>
        <w:bidi w:val="0"/>
        <w:ind w:firstLine="632" w:firstLineChars="200"/>
        <w:jc w:val="both"/>
        <w:rPr>
          <w:rFonts w:hint="default"/>
        </w:rPr>
      </w:pPr>
      <w:r>
        <w:rPr>
          <w:rFonts w:hint="eastAsia" w:eastAsia="黑体"/>
          <w:sz w:val="32"/>
          <w:lang w:eastAsia="zh-CN"/>
        </w:rPr>
        <w:t>第四十六条</w:t>
      </w:r>
      <w:r>
        <w:rPr>
          <w:rFonts w:hint="eastAsia"/>
          <w:lang w:eastAsia="zh-CN"/>
        </w:rPr>
        <w:t>　</w:t>
      </w:r>
      <w:r>
        <w:rPr>
          <w:rFonts w:hint="eastAsia"/>
        </w:rPr>
        <w:t>海警、海洋与渔业等有关单位对依法扣押的船舶，应当及时采取措施保障被扣押船舶的安全，避免影响海上交通安全，并</w:t>
      </w:r>
      <w:r>
        <w:rPr>
          <w:rFonts w:hint="eastAsia"/>
          <w:lang w:eastAsia="zh-CN"/>
        </w:rPr>
        <w:t>通报</w:t>
      </w:r>
      <w:r>
        <w:rPr>
          <w:rFonts w:hint="eastAsia"/>
        </w:rPr>
        <w:t>海事管理机构。</w:t>
      </w:r>
    </w:p>
    <w:p>
      <w:pPr>
        <w:pStyle w:val="15"/>
        <w:bidi w:val="0"/>
        <w:rPr>
          <w:rFonts w:hint="eastAsia"/>
          <w:lang w:eastAsia="zh-CN"/>
        </w:rPr>
      </w:pPr>
    </w:p>
    <w:p>
      <w:pPr>
        <w:pStyle w:val="5"/>
        <w:keepNext/>
        <w:keepLines/>
        <w:widowControl w:val="0"/>
        <w:bidi w:val="0"/>
        <w:spacing w:line="240" w:lineRule="auto"/>
        <w:ind w:firstLine="0" w:firstLineChars="0"/>
        <w:jc w:val="center"/>
        <w:outlineLvl w:val="2"/>
        <w:rPr>
          <w:rFonts w:hint="eastAsia"/>
          <w:lang w:eastAsia="zh-CN"/>
        </w:rPr>
      </w:pPr>
      <w:r>
        <w:rPr>
          <w:rFonts w:hint="eastAsia"/>
          <w:lang w:eastAsia="zh-CN"/>
        </w:rPr>
        <w:t>第六章　法律责任</w:t>
      </w:r>
    </w:p>
    <w:p>
      <w:pPr>
        <w:pStyle w:val="15"/>
        <w:bidi w:val="0"/>
        <w:rPr>
          <w:rFonts w:hint="eastAsia"/>
        </w:rPr>
      </w:pPr>
    </w:p>
    <w:p>
      <w:pPr>
        <w:widowControl w:val="0"/>
        <w:bidi w:val="0"/>
        <w:ind w:firstLine="632" w:firstLineChars="200"/>
        <w:jc w:val="both"/>
        <w:rPr>
          <w:rFonts w:hint="default"/>
        </w:rPr>
      </w:pPr>
      <w:r>
        <w:rPr>
          <w:rFonts w:hint="eastAsia" w:eastAsia="黑体"/>
          <w:sz w:val="32"/>
          <w:lang w:eastAsia="zh-CN"/>
        </w:rPr>
        <w:t>第四十七条</w:t>
      </w:r>
      <w:r>
        <w:rPr>
          <w:rFonts w:hint="eastAsia"/>
          <w:lang w:eastAsia="zh-CN"/>
        </w:rPr>
        <w:t>　</w:t>
      </w:r>
      <w:r>
        <w:rPr>
          <w:rFonts w:hint="eastAsia"/>
        </w:rPr>
        <w:t>违反本条例规定的行为，法律、法规已有法律责任规定的，从其规定。</w:t>
      </w:r>
    </w:p>
    <w:p>
      <w:pPr>
        <w:widowControl w:val="0"/>
        <w:bidi w:val="0"/>
        <w:ind w:firstLine="632" w:firstLineChars="200"/>
        <w:jc w:val="both"/>
        <w:rPr>
          <w:rFonts w:hint="default"/>
        </w:rPr>
      </w:pPr>
      <w:r>
        <w:rPr>
          <w:rFonts w:hint="eastAsia" w:eastAsia="黑体"/>
          <w:sz w:val="32"/>
          <w:lang w:eastAsia="zh-CN"/>
        </w:rPr>
        <w:t>第四十八条</w:t>
      </w:r>
      <w:r>
        <w:rPr>
          <w:rFonts w:hint="eastAsia"/>
          <w:lang w:val="en-US" w:eastAsia="zh-CN"/>
        </w:rPr>
        <w:t>　</w:t>
      </w:r>
      <w:r>
        <w:rPr>
          <w:rFonts w:hint="eastAsia"/>
        </w:rPr>
        <w:t>违反本条例规定，有下列行为之一的，由海事管理机构责令改正，对船舶所有人、经营人或者管理人处二万元以上十万元以下的罚款，对船长、责任船员处二千元以上五千元以下的罚款，暂扣船长、责任船员适任证书三个月至十二个月：</w:t>
      </w:r>
    </w:p>
    <w:p>
      <w:pPr>
        <w:bidi w:val="0"/>
        <w:rPr>
          <w:rFonts w:hint="default"/>
        </w:rPr>
      </w:pPr>
      <w:r>
        <w:rPr>
          <w:rFonts w:hint="eastAsia"/>
        </w:rPr>
        <w:t>（一）违反本条例第十条第二款规定，在港口水域航行的高速客船未主动让清所有非高速船舶，或者在闽江口内港区水域航行的高速客船，最高静水航速超过十五节的；</w:t>
      </w:r>
    </w:p>
    <w:p>
      <w:pPr>
        <w:bidi w:val="0"/>
        <w:rPr>
          <w:rFonts w:hint="default"/>
        </w:rPr>
      </w:pPr>
      <w:r>
        <w:rPr>
          <w:rFonts w:hint="eastAsia"/>
        </w:rPr>
        <w:t>（二）违反本条例第十八条第一款规定，并靠宽度超过该码头的前沿停泊水域宽度的；</w:t>
      </w:r>
    </w:p>
    <w:p>
      <w:pPr>
        <w:bidi w:val="0"/>
        <w:rPr>
          <w:rFonts w:hint="default"/>
        </w:rPr>
      </w:pPr>
      <w:r>
        <w:rPr>
          <w:rFonts w:hint="eastAsia"/>
        </w:rPr>
        <w:t>（三）违反本条例第十八条第三款规定，在闽江口内港区锚地并靠总宽度超过三十米的。</w:t>
      </w:r>
    </w:p>
    <w:p>
      <w:pPr>
        <w:widowControl w:val="0"/>
        <w:bidi w:val="0"/>
        <w:ind w:firstLine="632" w:firstLineChars="200"/>
        <w:jc w:val="both"/>
        <w:rPr>
          <w:rFonts w:hint="default"/>
        </w:rPr>
      </w:pPr>
      <w:r>
        <w:rPr>
          <w:rFonts w:hint="eastAsia" w:eastAsia="黑体"/>
          <w:sz w:val="32"/>
          <w:lang w:eastAsia="zh-CN"/>
        </w:rPr>
        <w:t>第四十九条</w:t>
      </w:r>
      <w:r>
        <w:rPr>
          <w:rFonts w:hint="eastAsia"/>
          <w:lang w:eastAsia="zh-CN"/>
        </w:rPr>
        <w:t>　</w:t>
      </w:r>
      <w:r>
        <w:rPr>
          <w:rFonts w:hint="eastAsia"/>
        </w:rPr>
        <w:t>违反本条例第十四条的规定，内河船舶未配备船舶自动识别系统的，由海事管理机构责令改正，拒不改正的，对船舶所有人、经营人或者管理人处二万元以上十万元以下</w:t>
      </w:r>
      <w:r>
        <w:rPr>
          <w:rFonts w:hint="eastAsia"/>
          <w:lang w:eastAsia="zh-CN"/>
        </w:rPr>
        <w:t>的</w:t>
      </w:r>
      <w:r>
        <w:rPr>
          <w:rFonts w:hint="eastAsia"/>
        </w:rPr>
        <w:t>罚款；未按</w:t>
      </w:r>
      <w:r>
        <w:rPr>
          <w:rFonts w:hint="eastAsia"/>
          <w:lang w:eastAsia="zh-CN"/>
        </w:rPr>
        <w:t>照</w:t>
      </w:r>
      <w:r>
        <w:rPr>
          <w:rFonts w:hint="eastAsia"/>
        </w:rPr>
        <w:t>规定进行显示和记录的，对船长、责任船员给予警告，处</w:t>
      </w:r>
      <w:r>
        <w:rPr>
          <w:rFonts w:hint="eastAsia"/>
          <w:lang w:eastAsia="zh-CN"/>
        </w:rPr>
        <w:t>二</w:t>
      </w:r>
      <w:r>
        <w:rPr>
          <w:rFonts w:hint="eastAsia"/>
        </w:rPr>
        <w:t>千元以上五千元以下的罚款，对船舶所有人、经营人或者管理人处一万元以上五万元以下的罚款。</w:t>
      </w:r>
    </w:p>
    <w:p>
      <w:pPr>
        <w:widowControl w:val="0"/>
        <w:bidi w:val="0"/>
        <w:ind w:firstLine="632" w:firstLineChars="200"/>
        <w:jc w:val="both"/>
        <w:rPr>
          <w:rFonts w:hint="default"/>
        </w:rPr>
      </w:pPr>
      <w:r>
        <w:rPr>
          <w:rFonts w:hint="eastAsia" w:eastAsia="黑体"/>
          <w:sz w:val="32"/>
          <w:lang w:eastAsia="zh-CN"/>
        </w:rPr>
        <w:t>第五十条</w:t>
      </w:r>
      <w:r>
        <w:rPr>
          <w:rFonts w:hint="eastAsia"/>
          <w:lang w:val="en-US" w:eastAsia="zh-CN"/>
        </w:rPr>
        <w:t>　</w:t>
      </w:r>
      <w:r>
        <w:rPr>
          <w:rFonts w:hint="eastAsia"/>
        </w:rPr>
        <w:t>违反本条例第二十一条第一款规定，设置水下管线未设置明显禁锚标志的，由海事管理机构责令改正，并对建设单位处一万元以上三万元以下的罚款。</w:t>
      </w:r>
    </w:p>
    <w:p>
      <w:pPr>
        <w:widowControl w:val="0"/>
        <w:bidi w:val="0"/>
        <w:ind w:firstLine="632" w:firstLineChars="200"/>
        <w:jc w:val="both"/>
        <w:rPr>
          <w:rFonts w:hint="default"/>
        </w:rPr>
      </w:pPr>
      <w:r>
        <w:rPr>
          <w:rFonts w:hint="eastAsia" w:eastAsia="黑体"/>
          <w:sz w:val="32"/>
          <w:lang w:eastAsia="zh-CN"/>
        </w:rPr>
        <w:t>第五十一条</w:t>
      </w:r>
      <w:r>
        <w:rPr>
          <w:rFonts w:hint="eastAsia"/>
          <w:lang w:eastAsia="zh-CN"/>
        </w:rPr>
        <w:t>　</w:t>
      </w:r>
      <w:r>
        <w:rPr>
          <w:rFonts w:hint="eastAsia"/>
        </w:rPr>
        <w:t>有关单位工作人员在海上交通安全管理工作中滥用职权、玩忽职守、徇私舞弊的，依法给予处分；构成犯罪的，依法追究刑事责任。</w:t>
      </w:r>
    </w:p>
    <w:p>
      <w:pPr>
        <w:pStyle w:val="15"/>
        <w:bidi w:val="0"/>
        <w:rPr>
          <w:rFonts w:hint="eastAsia"/>
          <w:lang w:eastAsia="zh-CN"/>
        </w:rPr>
      </w:pPr>
    </w:p>
    <w:p>
      <w:pPr>
        <w:pStyle w:val="5"/>
        <w:keepNext/>
        <w:keepLines/>
        <w:widowControl w:val="0"/>
        <w:bidi w:val="0"/>
        <w:spacing w:line="240" w:lineRule="auto"/>
        <w:ind w:firstLine="0" w:firstLineChars="0"/>
        <w:jc w:val="center"/>
        <w:outlineLvl w:val="2"/>
        <w:rPr>
          <w:rFonts w:hint="eastAsia"/>
          <w:lang w:eastAsia="zh-CN"/>
        </w:rPr>
      </w:pPr>
      <w:r>
        <w:rPr>
          <w:rFonts w:hint="eastAsia"/>
          <w:lang w:eastAsia="zh-CN"/>
        </w:rPr>
        <w:t>第七章　附　　则</w:t>
      </w:r>
    </w:p>
    <w:p>
      <w:pPr>
        <w:pStyle w:val="15"/>
        <w:bidi w:val="0"/>
        <w:rPr>
          <w:rFonts w:hint="eastAsia"/>
        </w:rPr>
      </w:pPr>
    </w:p>
    <w:p>
      <w:pPr>
        <w:widowControl w:val="0"/>
        <w:bidi w:val="0"/>
        <w:ind w:firstLine="632" w:firstLineChars="200"/>
        <w:jc w:val="both"/>
        <w:rPr>
          <w:rFonts w:hint="default"/>
          <w:lang w:val="en"/>
        </w:rPr>
      </w:pPr>
      <w:r>
        <w:rPr>
          <w:rFonts w:hint="eastAsia" w:eastAsia="黑体"/>
          <w:sz w:val="32"/>
          <w:lang w:eastAsia="zh-CN"/>
        </w:rPr>
        <w:t>第五十二条</w:t>
      </w:r>
      <w:r>
        <w:rPr>
          <w:rFonts w:hint="eastAsia"/>
          <w:lang w:eastAsia="zh-CN"/>
        </w:rPr>
        <w:t>　</w:t>
      </w:r>
      <w:r>
        <w:rPr>
          <w:rFonts w:hint="eastAsia"/>
        </w:rPr>
        <w:t>对海上军事管辖区和军用船舶、海上设施的管理，为军事目的进行水上水下作业的管理不适用本条例。</w:t>
      </w:r>
    </w:p>
    <w:p>
      <w:pPr>
        <w:bidi w:val="0"/>
        <w:rPr>
          <w:rFonts w:hint="default"/>
        </w:rPr>
      </w:pPr>
      <w:r>
        <w:rPr>
          <w:rFonts w:hint="eastAsia"/>
        </w:rPr>
        <w:t>渔港水域的交通安全管理由市、沿海县（市、区）海洋与渔业部门按照有关法律、法规规定负责管理。</w:t>
      </w:r>
    </w:p>
    <w:p>
      <w:pPr>
        <w:widowControl w:val="0"/>
        <w:bidi w:val="0"/>
        <w:ind w:firstLine="632" w:firstLineChars="200"/>
        <w:jc w:val="both"/>
        <w:rPr>
          <w:rFonts w:hint="default"/>
        </w:rPr>
      </w:pPr>
      <w:r>
        <w:rPr>
          <w:rFonts w:hint="eastAsia" w:eastAsia="黑体"/>
          <w:sz w:val="32"/>
          <w:lang w:eastAsia="zh-CN"/>
        </w:rPr>
        <w:t>第五十三条</w:t>
      </w:r>
      <w:r>
        <w:rPr>
          <w:rFonts w:hint="eastAsia"/>
          <w:lang w:eastAsia="zh-CN"/>
        </w:rPr>
        <w:t>　</w:t>
      </w:r>
      <w:r>
        <w:rPr>
          <w:rFonts w:hint="eastAsia"/>
        </w:rPr>
        <w:t>本条例中下列用语的含义：</w:t>
      </w:r>
    </w:p>
    <w:p>
      <w:pPr>
        <w:bidi w:val="0"/>
        <w:rPr>
          <w:rFonts w:hint="default"/>
        </w:rPr>
      </w:pPr>
      <w:r>
        <w:rPr>
          <w:rFonts w:hint="eastAsia"/>
          <w:lang w:val="en" w:eastAsia="zh-CN"/>
        </w:rPr>
        <w:t>（一）闽</w:t>
      </w:r>
      <w:r>
        <w:rPr>
          <w:rFonts w:hint="eastAsia"/>
        </w:rPr>
        <w:t>江口内港区，是指上游以三江口大桥和道庆洲大桥为界，外港界以一尖尾山、半洋礁、七星礁、沙峰角的连接为界。</w:t>
      </w:r>
    </w:p>
    <w:p>
      <w:pPr>
        <w:bidi w:val="0"/>
        <w:rPr>
          <w:rFonts w:hint="default"/>
        </w:rPr>
      </w:pPr>
      <w:r>
        <w:rPr>
          <w:rFonts w:hint="eastAsia"/>
          <w:lang w:val="en" w:eastAsia="zh-CN"/>
        </w:rPr>
        <w:t>（二）桥</w:t>
      </w:r>
      <w:r>
        <w:rPr>
          <w:rFonts w:hint="eastAsia"/>
        </w:rPr>
        <w:t>区水域，是指大马礁灯桩以上水域桥梁轴线两侧各二百米之内的水域；大马礁灯桩以下水域桥梁轴线两侧各一千米之内的水域。</w:t>
      </w:r>
    </w:p>
    <w:p>
      <w:pPr>
        <w:bidi w:val="0"/>
        <w:rPr>
          <w:rFonts w:hint="default"/>
        </w:rPr>
      </w:pPr>
      <w:r>
        <w:rPr>
          <w:rFonts w:hint="eastAsia"/>
          <w:lang w:val="en" w:eastAsia="zh-CN"/>
        </w:rPr>
        <w:t>（三）休</w:t>
      </w:r>
      <w:r>
        <w:rPr>
          <w:rFonts w:hint="eastAsia"/>
        </w:rPr>
        <w:t>闲船舶，是指核定载客十二人以下的休闲旅游船舶、休闲渔业船舶。</w:t>
      </w:r>
    </w:p>
    <w:p>
      <w:pPr>
        <w:widowControl w:val="0"/>
        <w:bidi w:val="0"/>
        <w:ind w:firstLine="632" w:firstLineChars="200"/>
        <w:jc w:val="both"/>
        <w:rPr>
          <w:rFonts w:hint="eastAsia"/>
          <w:lang w:val="en-US" w:eastAsia="zh-CN"/>
        </w:rPr>
      </w:pPr>
      <w:r>
        <w:rPr>
          <w:rFonts w:hint="eastAsia" w:eastAsia="黑体"/>
          <w:sz w:val="32"/>
          <w:lang w:eastAsia="zh-CN"/>
        </w:rPr>
        <w:t>第五十四条</w:t>
      </w:r>
      <w:r>
        <w:rPr>
          <w:rFonts w:hint="eastAsia"/>
          <w:lang w:val="en-US" w:eastAsia="zh-CN"/>
        </w:rPr>
        <w:t>　</w:t>
      </w:r>
      <w:r>
        <w:rPr>
          <w:rFonts w:hint="eastAsia"/>
        </w:rPr>
        <w:t>本条例自</w:t>
      </w:r>
      <w:r>
        <w:rPr>
          <w:rFonts w:hint="eastAsia"/>
          <w:lang w:val="en-US" w:eastAsia="zh-CN"/>
        </w:rPr>
        <w:t>2024</w:t>
      </w:r>
      <w:r>
        <w:rPr>
          <w:rFonts w:hint="eastAsia"/>
        </w:rPr>
        <w:t>年</w:t>
      </w:r>
      <w:r>
        <w:rPr>
          <w:rFonts w:hint="eastAsia"/>
          <w:lang w:val="en-US" w:eastAsia="zh-CN"/>
        </w:rPr>
        <w:t>10</w:t>
      </w:r>
      <w:r>
        <w:rPr>
          <w:rFonts w:hint="eastAsia"/>
        </w:rPr>
        <w:t>月</w:t>
      </w:r>
      <w:r>
        <w:rPr>
          <w:rFonts w:hint="eastAsia"/>
          <w:lang w:val="en-US" w:eastAsia="zh-CN"/>
        </w:rPr>
        <w:t>1</w:t>
      </w:r>
      <w:r>
        <w:rPr>
          <w:rFonts w:hint="eastAsia"/>
        </w:rPr>
        <w:t>日起施行。</w:t>
      </w: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3M2Y5NzIzMDFlZjAyY2Q4Njk5ODkyYjFjNzBiNTQ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B17AEA"/>
    <w:rsid w:val="0AFB0486"/>
    <w:rsid w:val="0BA37602"/>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5973F8F"/>
    <w:rsid w:val="26EE0409"/>
    <w:rsid w:val="27C34B9E"/>
    <w:rsid w:val="29484637"/>
    <w:rsid w:val="2A2102CB"/>
    <w:rsid w:val="2B3B078B"/>
    <w:rsid w:val="2C1077C7"/>
    <w:rsid w:val="2DF31F7F"/>
    <w:rsid w:val="2E681AF4"/>
    <w:rsid w:val="30C22903"/>
    <w:rsid w:val="344634A2"/>
    <w:rsid w:val="351F3659"/>
    <w:rsid w:val="3591582E"/>
    <w:rsid w:val="35A26038"/>
    <w:rsid w:val="36DA0180"/>
    <w:rsid w:val="37441DBD"/>
    <w:rsid w:val="378116AE"/>
    <w:rsid w:val="385B52F0"/>
    <w:rsid w:val="38C72FA6"/>
    <w:rsid w:val="3B9A7E9A"/>
    <w:rsid w:val="3DE63740"/>
    <w:rsid w:val="3FEA0D08"/>
    <w:rsid w:val="40302BBE"/>
    <w:rsid w:val="42B2200A"/>
    <w:rsid w:val="42F57D79"/>
    <w:rsid w:val="4499567F"/>
    <w:rsid w:val="44C164DB"/>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B7D6667"/>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4">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5">
    <w:name w:val="heading 3"/>
    <w:basedOn w:val="1"/>
    <w:next w:val="1"/>
    <w:unhideWhenUsed/>
    <w:qFormat/>
    <w:uiPriority w:val="9"/>
    <w:pPr>
      <w:keepNext/>
      <w:keepLines/>
      <w:spacing w:line="240" w:lineRule="auto"/>
      <w:ind w:firstLine="0" w:firstLineChars="0"/>
      <w:jc w:val="center"/>
      <w:outlineLvl w:val="2"/>
    </w:pPr>
    <w:rPr>
      <w:rFonts w:ascii="Times New Roman" w:hAnsi="Times New Roman" w:eastAsia="黑体"/>
      <w:bCs/>
      <w:szCs w:val="32"/>
    </w:rPr>
  </w:style>
  <w:style w:type="paragraph" w:styleId="6">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Balloon Text"/>
    <w:basedOn w:val="1"/>
    <w:next w:val="1"/>
    <w:semiHidden/>
    <w:qFormat/>
    <w:uiPriority w:val="0"/>
    <w:rPr>
      <w:sz w:val="18"/>
      <w:szCs w:val="18"/>
    </w:rPr>
  </w:style>
  <w:style w:type="paragraph" w:styleId="7">
    <w:name w:val="footer"/>
    <w:basedOn w:val="1"/>
    <w:next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2">
    <w:name w:val="ab-法规题注"/>
    <w:basedOn w:val="1"/>
    <w:qFormat/>
    <w:uiPriority w:val="0"/>
    <w:pPr>
      <w:ind w:left="632" w:leftChars="200" w:right="632" w:rightChars="200"/>
    </w:pPr>
    <w:rPr>
      <w:rFonts w:eastAsia="楷体_GB2312"/>
    </w:rPr>
  </w:style>
  <w:style w:type="paragraph" w:customStyle="1" w:styleId="13">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4">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5">
    <w:name w:val="af-法规空行"/>
    <w:basedOn w:val="1"/>
    <w:next w:val="1"/>
    <w:qFormat/>
    <w:uiPriority w:val="0"/>
    <w:pPr>
      <w:ind w:firstLine="0" w:firstLineChars="0"/>
    </w:pPr>
    <w:rPr>
      <w:rFonts w:hint="eastAsia" w:ascii="Times New Roman" w:hAnsi="Times New Roman" w:eastAsia="宋体"/>
    </w:rPr>
  </w:style>
  <w:style w:type="paragraph" w:customStyle="1" w:styleId="16">
    <w:name w:val="ae-法规目录列表节"/>
    <w:basedOn w:val="1"/>
    <w:qFormat/>
    <w:uiPriority w:val="0"/>
    <w:pPr>
      <w:ind w:left="2528" w:leftChars="400" w:right="1264" w:rightChars="400" w:hanging="1264" w:hangingChars="400"/>
      <w:jc w:val="left"/>
    </w:pPr>
    <w:rPr>
      <w:rFonts w:ascii="楷体_GB2312" w:hAnsi="楷体_GB2312" w:eastAsia="楷体_GB2312"/>
    </w:rPr>
  </w:style>
  <w:style w:type="paragraph" w:customStyle="1" w:styleId="17">
    <w:name w:val="Balloon Text"/>
    <w:qFormat/>
    <w:uiPriority w:val="0"/>
    <w:pPr>
      <w:widowControl w:val="0"/>
      <w:jc w:val="both"/>
    </w:pPr>
    <w:rPr>
      <w:rFonts w:hint="eastAsia" w:ascii="Times New Roman" w:hAnsi="Times New Roman" w:eastAsia="仿宋_GB2312" w:cs="Times New Roman"/>
      <w:kern w:val="2"/>
      <w:sz w:val="18"/>
      <w:szCs w:val="20"/>
      <w:lang w:val="en-US" w:eastAsia="zh-CN" w:bidi="ar-SA"/>
    </w:rPr>
  </w:style>
  <w:style w:type="paragraph" w:customStyle="1" w:styleId="18">
    <w:name w:val="正文缩进311"/>
    <w:next w:val="1"/>
    <w:qFormat/>
    <w:uiPriority w:val="0"/>
    <w:pPr>
      <w:wordWrap w:val="0"/>
      <w:ind w:left="3400"/>
      <w:jc w:val="both"/>
    </w:pPr>
    <w:rPr>
      <w:rFonts w:ascii="Calibri" w:hAnsi="Calibri" w:eastAsia="宋体" w:cs="Times New Roman"/>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Pages>
  <Words>0</Words>
  <Characters>0</Characters>
  <Lines>0</Lines>
  <Paragraphs>0</Paragraphs>
  <TotalTime>12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yuying</cp:lastModifiedBy>
  <dcterms:modified xsi:type="dcterms:W3CDTF">2024-08-29T06:32:26Z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39E12488D4C4486D9FEF6D9AC83E062A_13</vt:lpwstr>
  </property>
  <property fmtid="{D5CDD505-2E9C-101B-9397-08002B2CF9AE}" pid="3" name="KSOProductBuildVer">
    <vt:lpwstr>2052-12.1.0.15990</vt:lpwstr>
  </property>
</Properties>
</file>