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宋体"/>
          <w:b/>
          <w:bCs/>
          <w:kern w:val="0"/>
          <w:sz w:val="44"/>
          <w:szCs w:val="44"/>
          <w:lang w:val="zh-CN"/>
        </w:rPr>
      </w:pPr>
    </w:p>
    <w:p>
      <w:pPr>
        <w:spacing w:line="560" w:lineRule="exact"/>
        <w:jc w:val="center"/>
        <w:rPr>
          <w:rFonts w:hint="eastAsia" w:ascii="宋体" w:hAnsi="宋体" w:eastAsia="宋体"/>
          <w:b/>
          <w:bCs/>
          <w:color w:val="000000"/>
          <w:sz w:val="44"/>
          <w:szCs w:val="44"/>
        </w:rPr>
      </w:pPr>
      <w:r>
        <w:rPr>
          <w:rFonts w:hint="eastAsia" w:ascii="宋体" w:hAnsi="宋体" w:eastAsia="宋体"/>
          <w:b/>
          <w:bCs/>
          <w:color w:val="000000"/>
          <w:sz w:val="44"/>
          <w:szCs w:val="44"/>
        </w:rPr>
        <w:t>福州市闽江河口湿地自然保护区管理办法</w:t>
      </w:r>
    </w:p>
    <w:p>
      <w:pPr>
        <w:keepNext w:val="0"/>
        <w:keepLines w:val="0"/>
        <w:pageBreakBefore w:val="0"/>
        <w:widowControl w:val="0"/>
        <w:kinsoku/>
        <w:wordWrap/>
        <w:overflowPunct/>
        <w:topLinePunct w:val="0"/>
        <w:autoSpaceDE/>
        <w:autoSpaceDN/>
        <w:bidi w:val="0"/>
        <w:adjustRightInd/>
        <w:snapToGrid/>
        <w:spacing w:before="289" w:beforeLines="50" w:after="576" w:afterLines="100" w:line="520" w:lineRule="exact"/>
        <w:ind w:left="316" w:leftChars="0" w:right="443" w:rightChars="142" w:hanging="316" w:hangingChars="108"/>
        <w:jc w:val="both"/>
        <w:textAlignment w:val="auto"/>
        <w:outlineLvl w:val="9"/>
        <w:rPr>
          <w:rFonts w:hint="eastAsia" w:ascii="楷体_GB2312" w:hAnsi="楷体_GB2312" w:eastAsia="楷体_GB2312" w:cs="楷体_GB2312"/>
          <w:b/>
          <w:bCs/>
          <w:color w:val="000000"/>
          <w:spacing w:val="-6"/>
          <w:sz w:val="32"/>
          <w:szCs w:val="32"/>
        </w:rPr>
      </w:pPr>
      <w:r>
        <w:rPr>
          <w:rFonts w:hint="eastAsia" w:ascii="方正楷体简体" w:eastAsia="方正楷体简体"/>
          <w:sz w:val="30"/>
          <w:szCs w:val="30"/>
        </w:rPr>
        <w:t xml:space="preserve">  </w:t>
      </w:r>
      <w:bookmarkStart w:id="2" w:name="_GoBack"/>
      <w:bookmarkEnd w:id="2"/>
      <w:r>
        <w:rPr>
          <w:rFonts w:hint="eastAsia" w:ascii="楷体_GB2312" w:hAnsi="楷体_GB2312" w:eastAsia="楷体_GB2312" w:cs="楷体_GB2312"/>
          <w:spacing w:val="-6"/>
          <w:sz w:val="32"/>
          <w:szCs w:val="32"/>
        </w:rPr>
        <w:t>（2009年12月25日福州市第十三届人民代表大会常务委员会第二十四次会议通过  2010年3月26日福建省第十一届人民代表大会常务委员会第十四次会议批准  根据2017年11月1日福州市第十五届人民代表大会常务委员会第六次会议《关于修改〈福州市闽江河口湿地自然保护区管理办法〉的决定》修正  2017年11月24日福建省第十二届人民代表大会常务委员会第三十二次会议批准）</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both"/>
        <w:outlineLvl w:val="9"/>
        <w:rPr>
          <w:rFonts w:hint="eastAsia" w:ascii="仿宋_GB2312" w:hAnsi="仿宋_GB2312" w:eastAsia="仿宋_GB2312" w:cs="仿宋_GB2312"/>
          <w:color w:val="000000"/>
          <w:kern w:val="0"/>
          <w:sz w:val="32"/>
          <w:szCs w:val="32"/>
        </w:rPr>
      </w:pPr>
      <w:r>
        <w:rPr>
          <w:rFonts w:hint="eastAsia" w:ascii="方正楷体简体" w:eastAsia="方正楷体简体"/>
          <w:color w:val="000000"/>
          <w:kern w:val="0"/>
          <w:sz w:val="30"/>
          <w:szCs w:val="30"/>
        </w:rPr>
        <w:t xml:space="preserve">    </w:t>
      </w:r>
      <w:r>
        <w:rPr>
          <w:rFonts w:hint="eastAsia" w:ascii="黑体" w:eastAsia="黑体"/>
          <w:color w:val="000000"/>
          <w:kern w:val="0"/>
          <w:sz w:val="32"/>
          <w:szCs w:val="32"/>
        </w:rPr>
        <w:t>第一条</w:t>
      </w:r>
      <w:r>
        <w:rPr>
          <w:color w:val="000000"/>
          <w:kern w:val="0"/>
          <w:sz w:val="32"/>
          <w:szCs w:val="32"/>
        </w:rPr>
        <w:t xml:space="preserve"> </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为了加强闽江河口湿地自然保护区的保护和管理，发挥湿地生态调控功能，保护生物多样性，根据《中华人民共和国自然保护区条例》等有关法律、法规的规定，结合湿地自然保护区实际，制定本办法。</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4" w:firstLineChars="20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第二条</w:t>
      </w:r>
      <w:r>
        <w:rPr>
          <w:color w:val="000000"/>
          <w:kern w:val="0"/>
          <w:sz w:val="32"/>
          <w:szCs w:val="32"/>
        </w:rPr>
        <w:t xml:space="preserve"> </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本办法所称闽江河口湿地自然保护区（以下简称保护区），是指经福建省人民政府批准，在闽江入海口的梅花水道划定予以特殊保护和管理的区域。</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both"/>
        <w:outlineLvl w:val="9"/>
        <w:rPr>
          <w:rFonts w:hint="eastAsia" w:ascii="仿宋_GB2312" w:hAnsi="宋体" w:eastAsia="宋体" w:cs="仿宋_GB2312"/>
          <w:color w:val="000000"/>
          <w:spacing w:val="-6"/>
          <w:kern w:val="0"/>
          <w:sz w:val="32"/>
          <w:szCs w:val="32"/>
        </w:rPr>
      </w:pPr>
      <w:r>
        <w:rPr>
          <w:rFonts w:hint="eastAsia" w:ascii="黑体" w:eastAsia="黑体"/>
          <w:color w:val="000000"/>
          <w:kern w:val="0"/>
          <w:sz w:val="32"/>
          <w:szCs w:val="32"/>
        </w:rPr>
        <w:t xml:space="preserve">    第三条</w:t>
      </w:r>
      <w:r>
        <w:rPr>
          <w:b/>
          <w:bCs/>
          <w:color w:val="000000"/>
          <w:kern w:val="0"/>
          <w:sz w:val="32"/>
          <w:szCs w:val="32"/>
        </w:rPr>
        <w:t xml:space="preserve"> </w:t>
      </w:r>
      <w:r>
        <w:rPr>
          <w:rFonts w:ascii="仿宋_GB2312"/>
          <w:color w:val="000000"/>
          <w:kern w:val="0"/>
          <w:sz w:val="32"/>
          <w:szCs w:val="32"/>
        </w:rPr>
        <w:t xml:space="preserve"> </w:t>
      </w:r>
      <w:r>
        <w:rPr>
          <w:rFonts w:hint="eastAsia" w:ascii="仿宋_GB2312" w:hAnsi="仿宋_GB2312" w:eastAsia="仿宋_GB2312" w:cs="仿宋_GB2312"/>
          <w:color w:val="000000"/>
          <w:spacing w:val="-6"/>
          <w:kern w:val="0"/>
          <w:sz w:val="32"/>
          <w:szCs w:val="32"/>
        </w:rPr>
        <w:t>本办法适用于保护区的规划、保护及相关的管理活动。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4" w:firstLineChars="20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第四条</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福州市人民政府及保护区所在地的长乐市、马尾区人民政府应当将湿地保护工作纳入本地区国民经济和社会发展计划，根据湿地保护工作需要安排专项资金，并组织实施湿地保护规划和管理工作。</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both"/>
        <w:outlineLvl w:val="9"/>
        <w:rPr>
          <w:rFonts w:hint="eastAsia" w:ascii="仿宋_GB2312" w:hAnsi="仿宋_GB2312" w:eastAsia="仿宋_GB2312" w:cs="仿宋_GB2312"/>
          <w:color w:val="000000"/>
          <w:kern w:val="0"/>
          <w:sz w:val="32"/>
          <w:szCs w:val="32"/>
        </w:rPr>
      </w:pPr>
      <w:r>
        <w:rPr>
          <w:rFonts w:hint="eastAsia" w:ascii="方正仿宋简体" w:eastAsia="方正仿宋简体"/>
          <w:color w:val="000000"/>
          <w:kern w:val="0"/>
          <w:sz w:val="32"/>
          <w:szCs w:val="32"/>
        </w:rPr>
        <w:t xml:space="preserve">    </w:t>
      </w:r>
      <w:r>
        <w:rPr>
          <w:rFonts w:hint="eastAsia" w:ascii="黑体" w:eastAsia="黑体"/>
          <w:color w:val="000000"/>
          <w:kern w:val="0"/>
          <w:sz w:val="32"/>
          <w:szCs w:val="32"/>
        </w:rPr>
        <w:t>第五条</w:t>
      </w:r>
      <w:r>
        <w:rPr>
          <w:color w:val="000000"/>
          <w:kern w:val="0"/>
          <w:sz w:val="32"/>
          <w:szCs w:val="32"/>
        </w:rPr>
        <w:t xml:space="preserve"> </w:t>
      </w:r>
      <w:r>
        <w:rPr>
          <w:rFonts w:ascii="仿宋_GB2312"/>
          <w:b/>
          <w:bCs/>
          <w:color w:val="000000"/>
          <w:kern w:val="0"/>
          <w:sz w:val="32"/>
          <w:szCs w:val="32"/>
        </w:rPr>
        <w:t xml:space="preserve"> </w:t>
      </w:r>
      <w:r>
        <w:rPr>
          <w:rFonts w:hint="eastAsia" w:ascii="仿宋_GB2312" w:hAnsi="仿宋_GB2312" w:eastAsia="仿宋_GB2312" w:cs="仿宋_GB2312"/>
          <w:color w:val="000000"/>
          <w:kern w:val="0"/>
          <w:sz w:val="32"/>
          <w:szCs w:val="32"/>
        </w:rPr>
        <w:t>福州市人民政府应当明确有关行政管理部门和长乐市、马尾区人民政府对湿地保护与管理的职责。</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4" w:firstLineChars="20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福州市林业行政主管部门负责组织、协调、监督保护区的管理工作。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4" w:firstLineChars="20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福州市环境保护、城乡规划、国土资源、海洋与渔业、水利、港口航道等有关行政管理部门和长乐市、马尾区人民政府应当按照各自职责，共同做好保护区的管理工作。</w:t>
      </w:r>
    </w:p>
    <w:p>
      <w:pPr>
        <w:keepNext w:val="0"/>
        <w:keepLines w:val="0"/>
        <w:pageBreakBefore w:val="0"/>
        <w:widowControl w:val="0"/>
        <w:numPr>
          <w:ilvl w:val="0"/>
          <w:numId w:val="1"/>
        </w:numPr>
        <w:kinsoku/>
        <w:wordWrap/>
        <w:overflowPunct/>
        <w:topLinePunct w:val="0"/>
        <w:autoSpaceDE/>
        <w:autoSpaceDN/>
        <w:bidi w:val="0"/>
        <w:adjustRightInd/>
        <w:snapToGrid/>
        <w:spacing w:line="540" w:lineRule="exact"/>
        <w:ind w:left="0"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福州市人民政府设立保护区管理机构，保护区管理机构负责保护区的日常管理工作，其主要职责是： </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both"/>
        <w:outlineLvl w:val="9"/>
        <w:rPr>
          <w:rFonts w:hint="eastAsia" w:ascii="方正仿宋简体" w:eastAsia="方正仿宋简体"/>
          <w:color w:val="000000"/>
          <w:kern w:val="0"/>
          <w:sz w:val="32"/>
          <w:szCs w:val="32"/>
        </w:rPr>
      </w:pPr>
      <w:r>
        <w:rPr>
          <w:rFonts w:ascii="方正仿宋简体" w:hAnsi="方正仿宋简体" w:cs="方正仿宋简体"/>
          <w:color w:val="000000"/>
          <w:kern w:val="0"/>
          <w:sz w:val="32"/>
          <w:szCs w:val="32"/>
        </w:rPr>
        <w:t xml:space="preserve">   </w:t>
      </w:r>
      <w:r>
        <w:rPr>
          <w:rFonts w:hint="eastAsia" w:ascii="方正仿宋简体" w:hAnsi="方正仿宋简体" w:cs="方正仿宋简体"/>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（一）贯彻执行有关法律、法规；</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both"/>
        <w:outlineLvl w:val="9"/>
        <w:rPr>
          <w:rFonts w:hint="eastAsia" w:ascii="仿宋_GB2312" w:hAnsi="仿宋_GB2312" w:eastAsia="仿宋_GB2312" w:cs="仿宋_GB2312"/>
          <w:color w:val="000000"/>
          <w:kern w:val="0"/>
          <w:sz w:val="32"/>
          <w:szCs w:val="32"/>
        </w:rPr>
      </w:pPr>
      <w:r>
        <w:rPr>
          <w:rFonts w:ascii="方正仿宋简体" w:hAnsi="方正仿宋简体" w:cs="方正仿宋简体"/>
          <w:color w:val="000000"/>
          <w:kern w:val="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（二）制定各项管理制度，统一管理保护区；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4" w:firstLineChars="20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（三）调查保护区内的自然资源并建立档案，定期组织环境监测，保护湿地生态环境和湿地资源；</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4" w:firstLineChars="20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（四）组织开展保护区的科学研究和公众宣传教育；</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4" w:firstLineChars="20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（五）依法制止、查处保护区内的违法行为；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4" w:firstLineChars="20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（六）法律、法规、规章规定的其他职责。</w:t>
      </w:r>
    </w:p>
    <w:p>
      <w:pPr>
        <w:keepNext w:val="0"/>
        <w:keepLines w:val="0"/>
        <w:pageBreakBefore w:val="0"/>
        <w:widowControl w:val="0"/>
        <w:kinsoku/>
        <w:wordWrap/>
        <w:overflowPunct/>
        <w:topLinePunct w:val="0"/>
        <w:autoSpaceDE/>
        <w:autoSpaceDN/>
        <w:bidi w:val="0"/>
        <w:adjustRightInd/>
        <w:snapToGrid/>
        <w:spacing w:line="540" w:lineRule="exact"/>
        <w:ind w:right="0" w:rightChars="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 xml:space="preserve">    第七条 </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保护区坚持保护优先、科学利用、持续发展的原则，保护、恢复自然环境及野生动植物等资源。</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第八条</w:t>
      </w:r>
      <w:r>
        <w:rPr>
          <w:color w:val="000000"/>
          <w:kern w:val="0"/>
          <w:sz w:val="32"/>
          <w:szCs w:val="32"/>
        </w:rPr>
        <w:t xml:space="preserve"> </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任何单位和个人都有保护湿地生态环境与湿地资源的义务，有权对破坏保护区湿地生态环境与湿地资源的行为进行制止、举报。</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4" w:firstLineChars="20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鼓励社会团体参与保护区的湿地保护工作。</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对保护区的保护工作做出突出贡献的单位、社会团体和个人，由福州市人民政府给予表彰和奖励。</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spacing w:val="-6"/>
          <w:kern w:val="0"/>
          <w:sz w:val="32"/>
          <w:szCs w:val="32"/>
        </w:rPr>
      </w:pPr>
      <w:r>
        <w:rPr>
          <w:rFonts w:hint="eastAsia" w:ascii="黑体" w:eastAsia="黑体"/>
          <w:color w:val="000000"/>
          <w:kern w:val="0"/>
          <w:sz w:val="32"/>
          <w:szCs w:val="32"/>
        </w:rPr>
        <w:t xml:space="preserve">第九条 </w:t>
      </w:r>
      <w:r>
        <w:rPr>
          <w:rFonts w:hint="eastAsia" w:ascii="方正仿宋简体" w:eastAsia="方正仿宋简体"/>
          <w:color w:val="000000"/>
          <w:kern w:val="0"/>
          <w:sz w:val="32"/>
          <w:szCs w:val="32"/>
        </w:rPr>
        <w:t xml:space="preserve"> </w:t>
      </w:r>
      <w:r>
        <w:rPr>
          <w:rFonts w:hint="eastAsia" w:ascii="仿宋_GB2312" w:hAnsi="仿宋_GB2312" w:eastAsia="仿宋_GB2312" w:cs="仿宋_GB2312"/>
          <w:color w:val="000000"/>
          <w:spacing w:val="-6"/>
          <w:kern w:val="0"/>
          <w:sz w:val="32"/>
          <w:szCs w:val="32"/>
        </w:rPr>
        <w:t>福州市林业行政主管部门应当根据保护区自然环境状况和湿地生态保护的需要，会同环境保护、城乡规划、国土资源、海洋与渔业、水利、港口航道等行政管理部门和长乐市、马尾区人民政府编制保护区总体规划，按规定程序报批后向社会公布。</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经批准的保护区总体规划必须严格执行，任何单位和个人不得擅自改变。确需对保护区范围、功能区划等内容进行调整或者修改的，应当报原批准机关批准。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textAlignment w:val="baseline"/>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 xml:space="preserve">第十条  </w:t>
      </w:r>
      <w:r>
        <w:rPr>
          <w:rFonts w:hint="eastAsia" w:ascii="仿宋_GB2312" w:hAnsi="仿宋_GB2312" w:eastAsia="仿宋_GB2312" w:cs="仿宋_GB2312"/>
          <w:color w:val="000000"/>
          <w:kern w:val="0"/>
          <w:sz w:val="32"/>
          <w:szCs w:val="32"/>
        </w:rPr>
        <w:t>保护区按照自然生态条件、生物群落特征、重点保护对象，划分为核心区、缓冲区和实验区三类功能区。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24" w:firstLineChars="20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福州市人民政府应当在保护区及其核心区、缓冲区、实验区三类功能区的明显位置设置标志和标识等，并予以公告。</w:t>
      </w:r>
    </w:p>
    <w:p>
      <w:pPr>
        <w:keepNext w:val="0"/>
        <w:keepLines w:val="0"/>
        <w:pageBreakBefore w:val="0"/>
        <w:widowControl w:val="0"/>
        <w:kinsoku/>
        <w:wordWrap/>
        <w:overflowPunct/>
        <w:topLinePunct w:val="0"/>
        <w:autoSpaceDE/>
        <w:autoSpaceDN/>
        <w:bidi w:val="0"/>
        <w:adjustRightInd/>
        <w:snapToGrid/>
        <w:spacing w:line="540" w:lineRule="exact"/>
        <w:ind w:left="1" w:right="0" w:rightChars="0" w:firstLine="640"/>
        <w:jc w:val="both"/>
        <w:outlineLvl w:val="9"/>
        <w:rPr>
          <w:rFonts w:hint="eastAsia" w:ascii="方正仿宋简体" w:eastAsia="方正仿宋简体"/>
          <w:color w:val="000000"/>
          <w:kern w:val="0"/>
          <w:sz w:val="32"/>
          <w:szCs w:val="32"/>
        </w:rPr>
      </w:pPr>
      <w:r>
        <w:rPr>
          <w:rFonts w:hint="eastAsia" w:ascii="黑体" w:eastAsia="黑体"/>
          <w:color w:val="000000"/>
          <w:kern w:val="0"/>
          <w:sz w:val="32"/>
          <w:szCs w:val="32"/>
        </w:rPr>
        <w:t>第十一条</w:t>
      </w:r>
      <w:r>
        <w:rPr>
          <w:color w:val="000000"/>
          <w:kern w:val="0"/>
          <w:sz w:val="32"/>
          <w:szCs w:val="32"/>
        </w:rPr>
        <w:t xml:space="preserve"> </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保护区的核心区、缓冲区内禁止新建任何生产设施。已有生产设施应当限期自行拆除，并恢复湿地生态原状。</w:t>
      </w:r>
    </w:p>
    <w:p>
      <w:pPr>
        <w:keepNext w:val="0"/>
        <w:keepLines w:val="0"/>
        <w:pageBreakBefore w:val="0"/>
        <w:widowControl w:val="0"/>
        <w:kinsoku/>
        <w:wordWrap/>
        <w:overflowPunct/>
        <w:topLinePunct w:val="0"/>
        <w:autoSpaceDE/>
        <w:autoSpaceDN/>
        <w:bidi w:val="0"/>
        <w:adjustRightInd/>
        <w:snapToGrid/>
        <w:spacing w:line="540" w:lineRule="exact"/>
        <w:ind w:left="1"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第十二条</w:t>
      </w:r>
      <w:r>
        <w:rPr>
          <w:color w:val="000000"/>
          <w:kern w:val="0"/>
          <w:sz w:val="32"/>
          <w:szCs w:val="32"/>
        </w:rPr>
        <w:t xml:space="preserve"> </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 xml:space="preserve">在核心区、缓冲区内不得从事畜禽饲养、水产养殖等生产经营活动。 </w:t>
      </w:r>
    </w:p>
    <w:p>
      <w:pPr>
        <w:keepNext w:val="0"/>
        <w:keepLines w:val="0"/>
        <w:pageBreakBefore w:val="0"/>
        <w:widowControl w:val="0"/>
        <w:kinsoku/>
        <w:wordWrap/>
        <w:overflowPunct/>
        <w:topLinePunct w:val="0"/>
        <w:autoSpaceDE/>
        <w:autoSpaceDN/>
        <w:bidi w:val="0"/>
        <w:adjustRightInd/>
        <w:snapToGrid/>
        <w:spacing w:line="540" w:lineRule="exact"/>
        <w:ind w:left="1"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已在核心区、缓冲区从事畜禽饲养、水产养殖活动的单位或者个人，由当地人民政府组织逐步退出；已在实验区从事水产养殖活动的单位或者个人，应当与保护区管理机构及当地村民委员会签订生产守则，规定养殖的时限、种类、方式、规模及从事养殖活动的人数，禁止扩大原有水产养殖范围。</w:t>
      </w:r>
    </w:p>
    <w:p>
      <w:pPr>
        <w:keepNext w:val="0"/>
        <w:keepLines w:val="0"/>
        <w:pageBreakBefore w:val="0"/>
        <w:widowControl w:val="0"/>
        <w:kinsoku/>
        <w:wordWrap/>
        <w:overflowPunct/>
        <w:topLinePunct w:val="0"/>
        <w:autoSpaceDE/>
        <w:autoSpaceDN/>
        <w:bidi w:val="0"/>
        <w:adjustRightInd/>
        <w:snapToGrid/>
        <w:spacing w:line="540" w:lineRule="exact"/>
        <w:ind w:left="1"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第十三条</w:t>
      </w:r>
      <w:r>
        <w:rPr>
          <w:b/>
          <w:bCs/>
          <w:color w:val="000000"/>
          <w:kern w:val="0"/>
          <w:sz w:val="32"/>
          <w:szCs w:val="32"/>
        </w:rPr>
        <w:t xml:space="preserve"> </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在核心区内，除因科学研究需要从事观测、调查等活动外，禁止开展任何其他活动。</w:t>
      </w:r>
    </w:p>
    <w:p>
      <w:pPr>
        <w:keepNext w:val="0"/>
        <w:keepLines w:val="0"/>
        <w:pageBreakBefore w:val="0"/>
        <w:widowControl w:val="0"/>
        <w:kinsoku/>
        <w:wordWrap/>
        <w:overflowPunct/>
        <w:topLinePunct w:val="0"/>
        <w:autoSpaceDE/>
        <w:autoSpaceDN/>
        <w:bidi w:val="0"/>
        <w:adjustRightInd/>
        <w:snapToGrid/>
        <w:spacing w:line="540" w:lineRule="exact"/>
        <w:ind w:left="1"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在缓冲区内，除因教学科研需要从事非破坏性的观测、调查、教学实习和野生动植物标本采集等活动外，禁止开展其他活动。</w:t>
      </w:r>
    </w:p>
    <w:p>
      <w:pPr>
        <w:keepNext w:val="0"/>
        <w:keepLines w:val="0"/>
        <w:pageBreakBefore w:val="0"/>
        <w:widowControl w:val="0"/>
        <w:kinsoku/>
        <w:wordWrap/>
        <w:overflowPunct/>
        <w:topLinePunct w:val="0"/>
        <w:autoSpaceDE/>
        <w:autoSpaceDN/>
        <w:bidi w:val="0"/>
        <w:adjustRightInd/>
        <w:snapToGrid/>
        <w:spacing w:line="540" w:lineRule="exact"/>
        <w:ind w:left="1" w:right="0" w:rightChars="0" w:firstLine="634"/>
        <w:jc w:val="both"/>
        <w:outlineLvl w:val="9"/>
        <w:rPr>
          <w:rFonts w:hint="eastAsia" w:ascii="仿宋_GB2312" w:hAnsi="仿宋_GB2312" w:eastAsia="仿宋_GB2312" w:cs="仿宋_GB2312"/>
          <w:color w:val="000000"/>
          <w:spacing w:val="0"/>
          <w:kern w:val="0"/>
          <w:sz w:val="32"/>
          <w:szCs w:val="32"/>
        </w:rPr>
      </w:pPr>
      <w:r>
        <w:rPr>
          <w:rFonts w:hint="eastAsia" w:ascii="仿宋_GB2312" w:hAnsi="仿宋_GB2312" w:eastAsia="仿宋_GB2312" w:cs="仿宋_GB2312"/>
          <w:color w:val="000000"/>
          <w:spacing w:val="0"/>
          <w:kern w:val="0"/>
          <w:sz w:val="32"/>
          <w:szCs w:val="32"/>
        </w:rPr>
        <w:t>在实验区内，除可以从事本条第一款、第二款允许的活动外，还可以进行参观考察、生态旅游、摄影及保护区管理机构批准的其他活动。</w:t>
      </w:r>
    </w:p>
    <w:p>
      <w:pPr>
        <w:keepNext w:val="0"/>
        <w:keepLines w:val="0"/>
        <w:pageBreakBefore w:val="0"/>
        <w:widowControl w:val="0"/>
        <w:kinsoku/>
        <w:wordWrap/>
        <w:overflowPunct/>
        <w:topLinePunct w:val="0"/>
        <w:autoSpaceDE/>
        <w:autoSpaceDN/>
        <w:bidi w:val="0"/>
        <w:adjustRightInd/>
        <w:snapToGrid/>
        <w:spacing w:line="540" w:lineRule="exact"/>
        <w:ind w:left="1"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第十四条</w:t>
      </w:r>
      <w:r>
        <w:rPr>
          <w:color w:val="000000"/>
          <w:kern w:val="0"/>
          <w:sz w:val="32"/>
          <w:szCs w:val="32"/>
        </w:rPr>
        <w:t xml:space="preserve"> </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在保护区内从事第十三条允许的活动，应当向保护区管理机构提出申请并提交下列材料：</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（一）申请单位、个人的基本情况；</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（二）活动计划，包括活动的时间、内容、规模、人数、范围以及使用的设备等；</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（三）法律、法规规定的其他材料。</w:t>
      </w:r>
    </w:p>
    <w:p>
      <w:pPr>
        <w:keepNext w:val="0"/>
        <w:keepLines w:val="0"/>
        <w:pageBreakBefore w:val="0"/>
        <w:widowControl w:val="0"/>
        <w:kinsoku/>
        <w:wordWrap/>
        <w:overflowPunct/>
        <w:topLinePunct w:val="0"/>
        <w:autoSpaceDE/>
        <w:autoSpaceDN/>
        <w:bidi w:val="0"/>
        <w:adjustRightInd/>
        <w:snapToGrid/>
        <w:spacing w:line="540" w:lineRule="exact"/>
        <w:ind w:left="1" w:right="0" w:rightChars="0" w:firstLine="640"/>
        <w:jc w:val="both"/>
        <w:outlineLvl w:val="9"/>
        <w:rPr>
          <w:rFonts w:hint="eastAsia" w:ascii="仿宋_GB2312" w:hAnsi="仿宋_GB2312" w:eastAsia="仿宋_GB2312" w:cs="仿宋_GB2312"/>
          <w:color w:val="000000"/>
          <w:spacing w:val="-6"/>
          <w:kern w:val="0"/>
          <w:sz w:val="32"/>
          <w:szCs w:val="32"/>
        </w:rPr>
      </w:pPr>
      <w:r>
        <w:rPr>
          <w:rFonts w:hint="eastAsia" w:ascii="仿宋_GB2312" w:hAnsi="仿宋_GB2312" w:eastAsia="仿宋_GB2312" w:cs="仿宋_GB2312"/>
          <w:color w:val="000000"/>
          <w:spacing w:val="-6"/>
          <w:kern w:val="0"/>
          <w:sz w:val="32"/>
          <w:szCs w:val="32"/>
        </w:rPr>
        <w:t>保护区管理机构应当在收到申请之日起5个工作日内完成审批，并将审批结果和理由书面通知申请人。需要进入核心区进行科学研究活动的，保护区管理机构应当提出初审意见，报有权机关审批。</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经批准在保护区内从事教学科研活动的，应当在活动结束后将教学科研成果副本提交保护区管理机构。</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 xml:space="preserve">第十五条  </w:t>
      </w:r>
      <w:r>
        <w:rPr>
          <w:rFonts w:hint="eastAsia" w:ascii="仿宋_GB2312" w:hAnsi="仿宋_GB2312" w:eastAsia="仿宋_GB2312" w:cs="仿宋_GB2312"/>
          <w:color w:val="000000"/>
          <w:kern w:val="0"/>
          <w:sz w:val="32"/>
          <w:szCs w:val="32"/>
        </w:rPr>
        <w:t>保护区管理机构应当建立健全保护区野生动植物救护机制，及时受理有关救护报告并采取救护措施，重点保护黑嘴端凤头燕鸥、黑脸琵鹭、东方白鹳、勺嘴鹬、卷羽鹈鹕、遗鸥等珍稀濒危水禽和珍稀水生野生动物的安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spacing w:val="-6"/>
          <w:kern w:val="0"/>
          <w:sz w:val="32"/>
          <w:szCs w:val="32"/>
        </w:rPr>
      </w:pPr>
      <w:r>
        <w:rPr>
          <w:rFonts w:hint="eastAsia" w:ascii="黑体" w:eastAsia="黑体"/>
          <w:color w:val="000000"/>
          <w:kern w:val="0"/>
          <w:sz w:val="32"/>
          <w:szCs w:val="32"/>
        </w:rPr>
        <w:t>第十六条</w:t>
      </w:r>
      <w:r>
        <w:rPr>
          <w:rFonts w:ascii="仿宋_GB2312"/>
          <w:color w:val="000000"/>
          <w:kern w:val="0"/>
          <w:sz w:val="32"/>
          <w:szCs w:val="32"/>
        </w:rPr>
        <w:t xml:space="preserve">  </w:t>
      </w:r>
      <w:r>
        <w:rPr>
          <w:rFonts w:hint="eastAsia" w:ascii="仿宋_GB2312" w:hAnsi="仿宋_GB2312" w:eastAsia="仿宋_GB2312" w:cs="仿宋_GB2312"/>
          <w:color w:val="000000"/>
          <w:spacing w:val="-6"/>
          <w:kern w:val="0"/>
          <w:sz w:val="32"/>
          <w:szCs w:val="32"/>
        </w:rPr>
        <w:t>保护区内禁止猎捕鸟类等野生动物、捡拾鸟卵和雏鸟，禁止以鸣笛、追赶等方式惊吓野生水禽，干扰鸟类觅食、繁殖。</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spacing w:val="0"/>
          <w:kern w:val="0"/>
          <w:sz w:val="32"/>
          <w:szCs w:val="32"/>
        </w:rPr>
      </w:pPr>
      <w:r>
        <w:rPr>
          <w:rFonts w:hint="eastAsia" w:ascii="黑体" w:eastAsia="黑体"/>
          <w:color w:val="000000"/>
          <w:kern w:val="0"/>
          <w:sz w:val="32"/>
          <w:szCs w:val="32"/>
        </w:rPr>
        <w:t>第十七条</w:t>
      </w:r>
      <w:r>
        <w:rPr>
          <w:color w:val="000000"/>
          <w:kern w:val="0"/>
          <w:sz w:val="32"/>
          <w:szCs w:val="32"/>
        </w:rPr>
        <w:t xml:space="preserve"> </w:t>
      </w:r>
      <w:r>
        <w:rPr>
          <w:rFonts w:ascii="仿宋_GB2312"/>
          <w:color w:val="000000"/>
          <w:kern w:val="0"/>
          <w:sz w:val="32"/>
          <w:szCs w:val="32"/>
        </w:rPr>
        <w:t xml:space="preserve"> </w:t>
      </w:r>
      <w:r>
        <w:rPr>
          <w:rFonts w:hint="eastAsia" w:ascii="仿宋_GB2312" w:hAnsi="仿宋_GB2312" w:eastAsia="仿宋_GB2312" w:cs="仿宋_GB2312"/>
          <w:color w:val="000000"/>
          <w:spacing w:val="0"/>
          <w:kern w:val="0"/>
          <w:sz w:val="32"/>
          <w:szCs w:val="32"/>
        </w:rPr>
        <w:t>保护区严格限制引进外来物种。对互花米草等外来入侵植物，保护区管理机构应当采取有效治理措施，恢复湿地的生态环境。</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第十八条</w:t>
      </w:r>
      <w:r>
        <w:rPr>
          <w:color w:val="000000"/>
          <w:kern w:val="0"/>
          <w:sz w:val="32"/>
          <w:szCs w:val="32"/>
        </w:rPr>
        <w:t xml:space="preserve"> </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禁止向保护区超标排放污水。</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保护区所在地人民政府应当采取有效措施，对现有向保护区超标排放污水的排污口进行限期治理或者关闭。</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第十九条</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在保护区范围内禁止下列行为：</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（一）侵占或者擅自围垦湿地；</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（二）擅自挖沟、筑坝、修建阻水、排水设施；</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（三）从事烧荒、采药、开垦、砍伐、放牧、捕捞、开矿、采石、挖沙等活动；</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（四）排放有毒有害气体，投放可能危害水体、野生动植物的物品，倾倒废弃物；</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（五）破坏保护区的标志或者标识；</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（六）破坏保护区的相关保护设施或者科研设备；</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540" w:lineRule="exact"/>
        <w:ind w:left="1"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第二十条</w:t>
      </w:r>
      <w:r>
        <w:rPr>
          <w:rFonts w:ascii="仿宋_GB2312"/>
          <w:b/>
          <w:bCs/>
          <w:color w:val="000000"/>
          <w:kern w:val="0"/>
          <w:sz w:val="32"/>
          <w:szCs w:val="32"/>
        </w:rPr>
        <w:t xml:space="preserve">  </w:t>
      </w:r>
      <w:r>
        <w:rPr>
          <w:rFonts w:hint="eastAsia" w:ascii="仿宋_GB2312" w:hAnsi="仿宋_GB2312" w:eastAsia="仿宋_GB2312" w:cs="仿宋_GB2312"/>
          <w:color w:val="000000"/>
          <w:kern w:val="0"/>
          <w:sz w:val="32"/>
          <w:szCs w:val="32"/>
        </w:rPr>
        <w:t>违反本办法第十一条、第十九条第（一）项规定，逾期未拆除生产设施或者未退出所占湿地的，由保护区管理机构予以强制拆除，恢复原状，对保护区湿地造成破坏的，按破坏湿地面积每平方米处以三十元以上五十元以下罚款。</w:t>
      </w:r>
    </w:p>
    <w:p>
      <w:pPr>
        <w:keepNext w:val="0"/>
        <w:keepLines w:val="0"/>
        <w:pageBreakBefore w:val="0"/>
        <w:widowControl w:val="0"/>
        <w:kinsoku/>
        <w:wordWrap/>
        <w:overflowPunct/>
        <w:topLinePunct w:val="0"/>
        <w:autoSpaceDE/>
        <w:autoSpaceDN/>
        <w:bidi w:val="0"/>
        <w:adjustRightInd/>
        <w:snapToGrid/>
        <w:spacing w:line="540" w:lineRule="exact"/>
        <w:ind w:left="1"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第二十一条</w:t>
      </w:r>
      <w:r>
        <w:rPr>
          <w:color w:val="000000"/>
          <w:kern w:val="0"/>
          <w:sz w:val="32"/>
          <w:szCs w:val="32"/>
        </w:rPr>
        <w:t xml:space="preserve"> </w:t>
      </w:r>
      <w:r>
        <w:rPr>
          <w:rFonts w:hint="eastAsia" w:ascii="仿宋_GB2312" w:hAnsi="仿宋_GB2312" w:eastAsia="仿宋_GB2312" w:cs="仿宋_GB2312"/>
          <w:color w:val="000000"/>
          <w:kern w:val="0"/>
          <w:sz w:val="32"/>
          <w:szCs w:val="32"/>
        </w:rPr>
        <w:t xml:space="preserve"> 违反本办法第十二条、第十三条规定，在保护区内从事禁止性活动或者未经批准在保护区内进行相关活动的，由保护区管理机构责令停止违法行为，限期恢复原状或者采取其他补救措施，并处以二千元以上一万元以下的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第二十二条</w:t>
      </w:r>
      <w:r>
        <w:rPr>
          <w:color w:val="000000"/>
          <w:kern w:val="0"/>
          <w:sz w:val="32"/>
          <w:szCs w:val="32"/>
        </w:rPr>
        <w:t xml:space="preserve"> </w:t>
      </w:r>
      <w:r>
        <w:rPr>
          <w:rFonts w:hint="eastAsia" w:ascii="仿宋_GB2312" w:hAnsi="仿宋_GB2312" w:eastAsia="仿宋_GB2312" w:cs="仿宋_GB2312"/>
          <w:color w:val="000000"/>
          <w:kern w:val="0"/>
          <w:sz w:val="32"/>
          <w:szCs w:val="32"/>
        </w:rPr>
        <w:t xml:space="preserve"> 违反本办法第十四条规定，超出批准范围从事活动或者在科研活动结束后未将活动成果副本提交保护区管理机构的，由保护区管理机构责令改正，可以并处三千元以上五千元以下的罚款。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第二十三条</w:t>
      </w:r>
      <w:r>
        <w:rPr>
          <w:rFonts w:ascii="仿宋_GB2312"/>
          <w:color w:val="000000"/>
          <w:kern w:val="0"/>
          <w:sz w:val="32"/>
          <w:szCs w:val="32"/>
        </w:rPr>
        <w:t xml:space="preserve">  </w:t>
      </w:r>
      <w:r>
        <w:rPr>
          <w:rFonts w:hint="eastAsia" w:ascii="仿宋_GB2312" w:hAnsi="仿宋_GB2312" w:eastAsia="仿宋_GB2312" w:cs="仿宋_GB2312"/>
          <w:color w:val="000000"/>
          <w:kern w:val="0"/>
          <w:sz w:val="32"/>
          <w:szCs w:val="32"/>
        </w:rPr>
        <w:t>违反本办法第十六条规定，捡拾鸟卵和雏鸟，以鸣笛、追赶等方式惊吓野生水禽，或者干扰鸟类觅食、繁殖的，由保护区管理机构予以警告，责令改正；拒不改正的，处以一千元以上二千元以下罚款。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 xml:space="preserve">第二十四条  </w:t>
      </w:r>
      <w:r>
        <w:rPr>
          <w:rFonts w:hint="eastAsia" w:ascii="仿宋_GB2312" w:hAnsi="仿宋_GB2312" w:eastAsia="仿宋_GB2312" w:cs="仿宋_GB2312"/>
          <w:color w:val="000000"/>
          <w:kern w:val="0"/>
          <w:sz w:val="32"/>
          <w:szCs w:val="32"/>
        </w:rPr>
        <w:t>违反本办法第十七条规定，擅自引进外来物种的，由保护区管理机构责令改正，可以并处五千元以上一万元以下的罚款。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 xml:space="preserve">第二十五条 </w:t>
      </w:r>
      <w:r>
        <w:rPr>
          <w:rFonts w:hint="eastAsia" w:ascii="方正仿宋简体" w:eastAsia="方正仿宋简体"/>
          <w:color w:val="000000"/>
          <w:kern w:val="0"/>
          <w:sz w:val="32"/>
          <w:szCs w:val="32"/>
        </w:rPr>
        <w:t xml:space="preserve"> </w:t>
      </w:r>
      <w:r>
        <w:rPr>
          <w:rFonts w:hint="eastAsia" w:ascii="仿宋_GB2312" w:hAnsi="仿宋_GB2312" w:eastAsia="仿宋_GB2312" w:cs="仿宋_GB2312"/>
          <w:color w:val="000000"/>
          <w:kern w:val="0"/>
          <w:sz w:val="32"/>
          <w:szCs w:val="32"/>
        </w:rPr>
        <w:t>违反本办法第十九条第（二）项和第（三）项规定的，除按照有关法律法规处罚外，由保护区管理机构责令改正，可以并处五千元以上一万元以下的罚款。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违反本办法第十九条第（五）项规定的，由保护区管理机构责令改正，可以并处五百元以上五千元以下的罚款。</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第二十六条</w:t>
      </w:r>
      <w:r>
        <w:rPr>
          <w:rFonts w:ascii="仿宋_GB2312"/>
          <w:color w:val="000000"/>
          <w:kern w:val="0"/>
          <w:sz w:val="32"/>
          <w:szCs w:val="32"/>
        </w:rPr>
        <w:t xml:space="preserve"> </w:t>
      </w:r>
      <w:r>
        <w:rPr>
          <w:rFonts w:hint="eastAsia" w:ascii="方正仿宋简体" w:eastAsia="方正仿宋简体"/>
          <w:color w:val="000000"/>
          <w:kern w:val="0"/>
          <w:sz w:val="32"/>
          <w:szCs w:val="32"/>
        </w:rPr>
        <w:t xml:space="preserve"> </w:t>
      </w:r>
      <w:r>
        <w:rPr>
          <w:rFonts w:hint="eastAsia" w:ascii="仿宋_GB2312" w:hAnsi="仿宋_GB2312" w:eastAsia="仿宋_GB2312" w:cs="仿宋_GB2312"/>
          <w:color w:val="000000"/>
          <w:kern w:val="0"/>
          <w:sz w:val="32"/>
          <w:szCs w:val="32"/>
        </w:rPr>
        <w:t>违反本办法其他规定的，由林业、环境保护、城乡规划、公安、海洋与渔业等相关行政管理部门依据有关法律法规予以处罚。</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仿宋_GB2312" w:hAnsi="仿宋_GB2312" w:eastAsia="仿宋_GB2312" w:cs="仿宋_GB2312"/>
          <w:color w:val="000000"/>
          <w:kern w:val="0"/>
          <w:sz w:val="32"/>
          <w:szCs w:val="32"/>
        </w:rPr>
      </w:pPr>
      <w:r>
        <w:rPr>
          <w:rFonts w:hint="eastAsia" w:ascii="黑体" w:eastAsia="黑体"/>
          <w:color w:val="000000"/>
          <w:kern w:val="0"/>
          <w:sz w:val="32"/>
          <w:szCs w:val="32"/>
        </w:rPr>
        <w:t xml:space="preserve">第二十七条  </w:t>
      </w:r>
      <w:r>
        <w:rPr>
          <w:rFonts w:hint="eastAsia" w:ascii="仿宋_GB2312" w:hAnsi="仿宋_GB2312" w:eastAsia="仿宋_GB2312" w:cs="仿宋_GB2312"/>
          <w:color w:val="000000"/>
          <w:kern w:val="0"/>
          <w:sz w:val="32"/>
          <w:szCs w:val="32"/>
        </w:rPr>
        <w:t xml:space="preserve">林业、环境保护等有关行政管理部门及保护区管理机构工作人员违反本办法规定，玩忽职守、滥用职权、徇私舞弊的，由其所在单位或者上级主管部门给予处分；构成犯罪的，依法追究其刑事责任。 </w:t>
      </w:r>
    </w:p>
    <w:p>
      <w:pPr>
        <w:keepNext w:val="0"/>
        <w:keepLines w:val="0"/>
        <w:pageBreakBefore w:val="0"/>
        <w:widowControl w:val="0"/>
        <w:kinsoku/>
        <w:wordWrap/>
        <w:overflowPunct/>
        <w:topLinePunct w:val="0"/>
        <w:autoSpaceDE/>
        <w:autoSpaceDN/>
        <w:bidi w:val="0"/>
        <w:adjustRightInd/>
        <w:snapToGrid/>
        <w:spacing w:line="540" w:lineRule="exact"/>
        <w:ind w:right="0" w:rightChars="0" w:firstLine="640"/>
        <w:jc w:val="both"/>
        <w:outlineLvl w:val="9"/>
        <w:rPr>
          <w:rFonts w:hint="eastAsia" w:ascii="宋体" w:hAnsi="宋体" w:eastAsia="宋体" w:cs="宋体"/>
          <w:b/>
          <w:bCs/>
          <w:kern w:val="0"/>
          <w:sz w:val="44"/>
          <w:szCs w:val="44"/>
          <w:lang w:val="zh-CN"/>
        </w:rPr>
      </w:pPr>
      <w:r>
        <w:rPr>
          <w:rFonts w:hint="eastAsia" w:ascii="黑体" w:eastAsia="黑体"/>
          <w:color w:val="000000"/>
          <w:kern w:val="0"/>
          <w:sz w:val="32"/>
          <w:szCs w:val="32"/>
        </w:rPr>
        <w:t>第二十八条</w:t>
      </w:r>
      <w:r>
        <w:rPr>
          <w:color w:val="000000"/>
          <w:kern w:val="0"/>
          <w:sz w:val="32"/>
          <w:szCs w:val="32"/>
        </w:rPr>
        <w:t xml:space="preserve">  </w:t>
      </w:r>
      <w:r>
        <w:rPr>
          <w:rFonts w:hint="eastAsia" w:ascii="仿宋_GB2312" w:hAnsi="仿宋_GB2312" w:eastAsia="仿宋_GB2312" w:cs="仿宋_GB2312"/>
          <w:color w:val="000000"/>
          <w:kern w:val="0"/>
          <w:sz w:val="32"/>
          <w:szCs w:val="32"/>
        </w:rPr>
        <w:t>本办法自2010年5月1日起施行。</w:t>
      </w:r>
      <w:bookmarkStart w:id="0" w:name="抄送"/>
      <w:bookmarkEnd w:id="0"/>
      <w:bookmarkStart w:id="1" w:name="印出日期"/>
      <w:bookmarkEnd w:id="1"/>
      <w:r>
        <w:rPr>
          <w:rFonts w:hint="eastAsia" w:ascii="仿宋_GB2312" w:hAnsi="仿宋_GB2312" w:eastAsia="仿宋_GB2312" w:cs="仿宋_GB2312"/>
        </w:rPr>
        <w:t xml:space="preserve"> </w:t>
      </w: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0" w:lineRule="exact"/>
        <w:ind w:left="0" w:leftChars="0" w:right="0" w:rightChars="0" w:firstLine="0" w:firstLineChars="0"/>
        <w:jc w:val="both"/>
        <w:textAlignment w:val="auto"/>
        <w:outlineLvl w:val="9"/>
        <w:rPr>
          <w:rFonts w:hint="eastAsia" w:ascii="仿宋_GB2312" w:hAnsi="仿宋_GB2312" w:eastAsia="仿宋_GB2312" w:cs="仿宋_GB231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Borders>
        <w:top w:val="none" w:sz="0" w:space="0"/>
        <w:left w:val="none" w:sz="0" w:space="0"/>
        <w:bottom w:val="none" w:sz="0" w:space="0"/>
        <w:right w:val="none" w:sz="0" w:space="0"/>
      </w:pgBorders>
      <w:pgNumType w:fmt="decimal"/>
      <w:cols w:space="720" w:num="1"/>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_GBK">
    <w:altName w:val="Times New Roman"/>
    <w:panose1 w:val="00000000000000000000"/>
    <w:charset w:val="00"/>
    <w:family w:val="auto"/>
    <w:pitch w:val="default"/>
    <w:sig w:usb0="00000000" w:usb1="00000000" w:usb2="00000000" w:usb3="00000000" w:csb0="00000001" w:csb1="00000000"/>
  </w:font>
  <w:font w:name="方正小标宋简体">
    <w:altName w:val="Arial Unicode MS"/>
    <w:panose1 w:val="03000509000000000000"/>
    <w:charset w:val="86"/>
    <w:family w:val="script"/>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方正黑体_GBK">
    <w:altName w:val="Arial Unicode MS"/>
    <w:panose1 w:val="03000509000000000000"/>
    <w:charset w:val="86"/>
    <w:family w:val="script"/>
    <w:pitch w:val="default"/>
    <w:sig w:usb0="00000000" w:usb1="00000000" w:usb2="00000000" w:usb3="00000000" w:csb0="00040000"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4X">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Lucida Sans Unicode">
    <w:panose1 w:val="020B0602030504020204"/>
    <w:charset w:val="00"/>
    <w:family w:val="auto"/>
    <w:pitch w:val="default"/>
    <w:sig w:usb0="80001AFF" w:usb1="0000396B" w:usb2="00000000" w:usb3="00000000" w:csb0="200000BF" w:csb1="D7F70000"/>
  </w:font>
  <w:font w:name="GillSans Condensed">
    <w:altName w:val="Segoe Print"/>
    <w:panose1 w:val="020B0506020204020204"/>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Book Antiqua">
    <w:panose1 w:val="02040602050305030304"/>
    <w:charset w:val="00"/>
    <w:family w:val="auto"/>
    <w:pitch w:val="default"/>
    <w:sig w:usb0="00000287" w:usb1="00000000" w:usb2="00000000" w:usb3="00000000" w:csb0="2000009F" w:csb1="DFD7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8065"/>
        <w:tab w:val="clear" w:pos="4153"/>
      </w:tabs>
      <w:rPr>
        <w:rFonts w:hint="eastAsia" w:eastAsia="仿宋"/>
        <w:lang w:eastAsia="zh-CN"/>
      </w:rPr>
    </w:pPr>
    <w:r>
      <w:rPr>
        <w:sz w:val="28"/>
      </w:rPr>
      <mc:AlternateContent>
        <mc:Choice Requires="wps">
          <w:drawing>
            <wp:anchor distT="0" distB="0" distL="114300" distR="114300" simplePos="0" relativeHeight="251718656" behindDoc="0" locked="0" layoutInCell="1" allowOverlap="1">
              <wp:simplePos x="0" y="0"/>
              <wp:positionH relativeFrom="margin">
                <wp:align>outside</wp:align>
              </wp:positionH>
              <wp:positionV relativeFrom="paragraph">
                <wp:posOffset>178435</wp:posOffset>
              </wp:positionV>
              <wp:extent cx="791210" cy="57975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91210" cy="579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jc w:val="right"/>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5</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eastAsia="zh-CN"/>
                            </w:rPr>
                            <w:t>—</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4.05pt;height:45.65pt;width:62.3pt;mso-position-horizontal:outside;mso-position-horizontal-relative:margin;z-index:251718656;mso-width-relative:page;mso-height-relative:page;" filled="f" stroked="f" coordsize="21600,21600" o:gfxdata="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SeFpNYAAAAHAQAA&#10;DwAAAAAAAAABACAAAAAiAAAAZHJzL2Rvd25yZXYueG1sUEsBAhQAFAAAAAgAh07iQJO58sgbAgAA&#10;EwQAAA4AAAAAAAAAAQAgAAAAJQEAAGRycy9lMm9Eb2MueG1sUEsFBgAAAAAGAAYAWQEAALIFAAAA&#10;AA==&#10;">
              <v:fill on="f" focussize="0,0"/>
              <v:stroke on="f" weight="0.5pt"/>
              <v:imagedata o:title=""/>
              <o:lock v:ext="edit" aspectratio="f"/>
              <v:textbox inset="0mm,0mm,0mm,0mm">
                <w:txbxContent>
                  <w:p>
                    <w:pPr>
                      <w:snapToGrid w:val="0"/>
                      <w:jc w:val="right"/>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5</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eastAsia="zh-CN"/>
                      </w:rPr>
                      <w:t>—</w:t>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8"/>
      </w:rPr>
      <mc:AlternateContent>
        <mc:Choice Requires="wps">
          <w:drawing>
            <wp:anchor distT="0" distB="0" distL="114300" distR="114300" simplePos="0" relativeHeight="251719680" behindDoc="0" locked="0" layoutInCell="1" allowOverlap="1">
              <wp:simplePos x="0" y="0"/>
              <wp:positionH relativeFrom="margin">
                <wp:posOffset>0</wp:posOffset>
              </wp:positionH>
              <wp:positionV relativeFrom="paragraph">
                <wp:posOffset>172720</wp:posOffset>
              </wp:positionV>
              <wp:extent cx="1035050" cy="78041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035050" cy="780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4</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eastAsia="zh-CN"/>
                            </w:rPr>
                            <w:t>—</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pt;margin-top:13.6pt;height:61.45pt;width:81.5pt;mso-position-horizontal-relative:margin;z-index:251719680;mso-width-relative:page;mso-height-relative:page;" filled="f" stroked="f" coordsize="21600,21600" o:gfxdata="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B8EuN1gAAAAcBAAAP&#10;AAAAAAAAAAEAIAAAACIAAABkcnMvZG93bnJldi54bWxQSwECFAAUAAAACACHTuJAItpazBoCAAAU&#10;BAAADgAAAAAAAAABACAAAAAlAQAAZHJzL2Uyb0RvYy54bWxQSwUGAAAAAAYABgBZAQAAsQUAAAAA&#10;">
              <v:fill on="f" focussize="0,0"/>
              <v:stroke on="f" weight="0.5pt"/>
              <v:imagedata o:title=""/>
              <o:lock v:ext="edit" aspectratio="f"/>
              <v:textbox inset="0mm,0mm,0mm,0mm">
                <w:txbxContent>
                  <w:p>
                    <w:pPr>
                      <w:snapToGrid w:val="0"/>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4</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eastAsia="zh-CN"/>
                      </w:rPr>
                      <w:t>—</w:t>
                    </w:r>
                  </w:p>
                </w:txbxContent>
              </v:textbox>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margin">
                <wp:posOffset>0</wp:posOffset>
              </wp:positionH>
              <wp:positionV relativeFrom="paragraph">
                <wp:posOffset>144780</wp:posOffset>
              </wp:positionV>
              <wp:extent cx="886460" cy="61404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86460" cy="6140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ajorEastAsia" w:hAnsiTheme="majorEastAsia" w:eastAsiaTheme="majorEastAsia" w:cstheme="majorEastAsia"/>
                              <w:sz w:val="28"/>
                              <w:szCs w:val="28"/>
                              <w:lang w:eastAsia="zh-CN"/>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pt;margin-top:11.4pt;height:48.35pt;width:69.8pt;mso-position-horizontal-relative:margin;z-index:251679744;mso-width-relative:page;mso-height-relative:page;" filled="f" stroked="f" coordsize="21600,21600" o:gfxdata="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Ih+X+1gAAAAcBAAAP&#10;AAAAAAAAAAEAIAAAACIAAABkcnMvZG93bnJldi54bWxQSwECFAAUAAAACACHTuJAsI34dhoCAAAT&#10;BAAADgAAAAAAAAABACAAAAAlAQAAZHJzL2Uyb0RvYy54bWxQSwUGAAAAAAYABgBZAQAAsQUAAAAA&#10;">
              <v:fill on="f" focussize="0,0"/>
              <v:stroke on="f" weight="0.5pt"/>
              <v:imagedata o:title=""/>
              <o:lock v:ext="edit" aspectratio="f"/>
              <v:textbox inset="0mm,0mm,0mm,0mm">
                <w:txbxContent>
                  <w:p>
                    <w:pPr>
                      <w:snapToGrid w:val="0"/>
                      <w:rPr>
                        <w:rFonts w:hint="eastAsia" w:asciiTheme="majorEastAsia" w:hAnsiTheme="majorEastAsia" w:eastAsiaTheme="majorEastAsia" w:cstheme="majorEastAsia"/>
                        <w:sz w:val="28"/>
                        <w:szCs w:val="28"/>
                        <w:lang w:eastAsia="zh-C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0ED"/>
    <w:multiLevelType w:val="multilevel"/>
    <w:tmpl w:val="081240ED"/>
    <w:lvl w:ilvl="0" w:tentative="0">
      <w:start w:val="6"/>
      <w:numFmt w:val="japaneseCounting"/>
      <w:lvlText w:val="第%1条"/>
      <w:lvlJc w:val="left"/>
      <w:pPr>
        <w:tabs>
          <w:tab w:val="left" w:pos="1840"/>
        </w:tabs>
        <w:ind w:left="1840" w:hanging="1200"/>
      </w:pPr>
      <w:rPr>
        <w:rFonts w:hint="eastAsia" w:ascii="黑体" w:eastAsia="黑体"/>
      </w:rPr>
    </w:lvl>
    <w:lvl w:ilvl="1" w:tentative="0">
      <w:start w:val="1"/>
      <w:numFmt w:val="lowerLetter"/>
      <w:lvlText w:val="%2)"/>
      <w:lvlJc w:val="left"/>
      <w:pPr>
        <w:tabs>
          <w:tab w:val="left" w:pos="1480"/>
        </w:tabs>
        <w:ind w:left="1480" w:hanging="420"/>
      </w:pPr>
      <w:rPr>
        <w:rFonts w:hint="default" w:ascii="Times New Roman" w:hAnsi="Times New Roman" w:cs="Times New Roman"/>
      </w:rPr>
    </w:lvl>
    <w:lvl w:ilvl="2" w:tentative="0">
      <w:start w:val="1"/>
      <w:numFmt w:val="lowerRoman"/>
      <w:lvlText w:val="%3."/>
      <w:lvlJc w:val="right"/>
      <w:pPr>
        <w:tabs>
          <w:tab w:val="left" w:pos="1900"/>
        </w:tabs>
        <w:ind w:left="1900" w:hanging="420"/>
      </w:pPr>
      <w:rPr>
        <w:rFonts w:hint="default" w:ascii="Times New Roman" w:hAnsi="Times New Roman" w:cs="Times New Roman"/>
      </w:rPr>
    </w:lvl>
    <w:lvl w:ilvl="3" w:tentative="0">
      <w:start w:val="1"/>
      <w:numFmt w:val="decimal"/>
      <w:lvlText w:val="%4."/>
      <w:lvlJc w:val="left"/>
      <w:pPr>
        <w:tabs>
          <w:tab w:val="left" w:pos="2320"/>
        </w:tabs>
        <w:ind w:left="2320" w:hanging="420"/>
      </w:pPr>
      <w:rPr>
        <w:rFonts w:hint="default" w:ascii="Times New Roman" w:hAnsi="Times New Roman" w:cs="Times New Roman"/>
      </w:rPr>
    </w:lvl>
    <w:lvl w:ilvl="4" w:tentative="0">
      <w:start w:val="1"/>
      <w:numFmt w:val="lowerLetter"/>
      <w:lvlText w:val="%5)"/>
      <w:lvlJc w:val="left"/>
      <w:pPr>
        <w:tabs>
          <w:tab w:val="left" w:pos="2740"/>
        </w:tabs>
        <w:ind w:left="2740" w:hanging="420"/>
      </w:pPr>
      <w:rPr>
        <w:rFonts w:hint="default" w:ascii="Times New Roman" w:hAnsi="Times New Roman" w:cs="Times New Roman"/>
      </w:rPr>
    </w:lvl>
    <w:lvl w:ilvl="5" w:tentative="0">
      <w:start w:val="1"/>
      <w:numFmt w:val="lowerRoman"/>
      <w:lvlText w:val="%6."/>
      <w:lvlJc w:val="right"/>
      <w:pPr>
        <w:tabs>
          <w:tab w:val="left" w:pos="3160"/>
        </w:tabs>
        <w:ind w:left="3160" w:hanging="420"/>
      </w:pPr>
      <w:rPr>
        <w:rFonts w:hint="default" w:ascii="Times New Roman" w:hAnsi="Times New Roman" w:cs="Times New Roman"/>
      </w:rPr>
    </w:lvl>
    <w:lvl w:ilvl="6" w:tentative="0">
      <w:start w:val="1"/>
      <w:numFmt w:val="decimal"/>
      <w:lvlText w:val="%7."/>
      <w:lvlJc w:val="left"/>
      <w:pPr>
        <w:tabs>
          <w:tab w:val="left" w:pos="3580"/>
        </w:tabs>
        <w:ind w:left="3580" w:hanging="420"/>
      </w:pPr>
      <w:rPr>
        <w:rFonts w:hint="default" w:ascii="Times New Roman" w:hAnsi="Times New Roman" w:cs="Times New Roman"/>
      </w:rPr>
    </w:lvl>
    <w:lvl w:ilvl="7" w:tentative="0">
      <w:start w:val="1"/>
      <w:numFmt w:val="lowerLetter"/>
      <w:lvlText w:val="%8)"/>
      <w:lvlJc w:val="left"/>
      <w:pPr>
        <w:tabs>
          <w:tab w:val="left" w:pos="4000"/>
        </w:tabs>
        <w:ind w:left="4000" w:hanging="420"/>
      </w:pPr>
      <w:rPr>
        <w:rFonts w:hint="default" w:ascii="Times New Roman" w:hAnsi="Times New Roman" w:cs="Times New Roman"/>
      </w:rPr>
    </w:lvl>
    <w:lvl w:ilvl="8" w:tentative="0">
      <w:start w:val="1"/>
      <w:numFmt w:val="lowerRoman"/>
      <w:lvlText w:val="%9."/>
      <w:lvlJc w:val="right"/>
      <w:pPr>
        <w:tabs>
          <w:tab w:val="left" w:pos="4420"/>
        </w:tabs>
        <w:ind w:left="4420" w:hanging="420"/>
      </w:pPr>
      <w:rPr>
        <w:rFonts w:hint="default" w:ascii="Times New Roman" w:hAnsi="Times New Roman" w:cs="Times New Roman"/>
      </w:rPr>
    </w:lvl>
  </w:abstractNum>
  <w:num w:numId="1">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806BF"/>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06926BBB"/>
    <w:rsid w:val="0AF509F7"/>
    <w:rsid w:val="0F1C5FA5"/>
    <w:rsid w:val="11621F6A"/>
    <w:rsid w:val="148D75F0"/>
    <w:rsid w:val="14DF1382"/>
    <w:rsid w:val="1AA203B7"/>
    <w:rsid w:val="1B9B4F51"/>
    <w:rsid w:val="1CB82607"/>
    <w:rsid w:val="1EA33493"/>
    <w:rsid w:val="1EF647F9"/>
    <w:rsid w:val="20DC728B"/>
    <w:rsid w:val="21DA4599"/>
    <w:rsid w:val="22943EEC"/>
    <w:rsid w:val="22C845C7"/>
    <w:rsid w:val="230B47ED"/>
    <w:rsid w:val="231979C8"/>
    <w:rsid w:val="23364216"/>
    <w:rsid w:val="23E17818"/>
    <w:rsid w:val="24A03A05"/>
    <w:rsid w:val="25101B5D"/>
    <w:rsid w:val="271E2FC5"/>
    <w:rsid w:val="277C3BEE"/>
    <w:rsid w:val="28732160"/>
    <w:rsid w:val="29AF6CF2"/>
    <w:rsid w:val="2C5366A5"/>
    <w:rsid w:val="2CB814DF"/>
    <w:rsid w:val="2E8D4CCB"/>
    <w:rsid w:val="2F6F4F28"/>
    <w:rsid w:val="300432B2"/>
    <w:rsid w:val="312F4C6F"/>
    <w:rsid w:val="33947524"/>
    <w:rsid w:val="3466319A"/>
    <w:rsid w:val="34E10791"/>
    <w:rsid w:val="35440ACF"/>
    <w:rsid w:val="37C268B0"/>
    <w:rsid w:val="3870438A"/>
    <w:rsid w:val="38A15D65"/>
    <w:rsid w:val="38BD0BD3"/>
    <w:rsid w:val="3943662A"/>
    <w:rsid w:val="3A5D688D"/>
    <w:rsid w:val="3AEE638E"/>
    <w:rsid w:val="3BE85E9A"/>
    <w:rsid w:val="3C5104AC"/>
    <w:rsid w:val="3DB0625D"/>
    <w:rsid w:val="3E4D07B7"/>
    <w:rsid w:val="40F67468"/>
    <w:rsid w:val="41612EF6"/>
    <w:rsid w:val="42CD38DB"/>
    <w:rsid w:val="43011A6F"/>
    <w:rsid w:val="43FF482A"/>
    <w:rsid w:val="446F67EA"/>
    <w:rsid w:val="44C04794"/>
    <w:rsid w:val="4F03442F"/>
    <w:rsid w:val="5191600B"/>
    <w:rsid w:val="53B9265D"/>
    <w:rsid w:val="5795079D"/>
    <w:rsid w:val="5AC46F39"/>
    <w:rsid w:val="5DC022DC"/>
    <w:rsid w:val="600A0DE5"/>
    <w:rsid w:val="619B2EA0"/>
    <w:rsid w:val="631C49D3"/>
    <w:rsid w:val="63BE7F25"/>
    <w:rsid w:val="64C13B7E"/>
    <w:rsid w:val="65BD79EA"/>
    <w:rsid w:val="66BA07D4"/>
    <w:rsid w:val="671F5E68"/>
    <w:rsid w:val="68322730"/>
    <w:rsid w:val="68702E66"/>
    <w:rsid w:val="68E94A7D"/>
    <w:rsid w:val="6B84609C"/>
    <w:rsid w:val="6CD40C18"/>
    <w:rsid w:val="6CFB4E5D"/>
    <w:rsid w:val="6FD87E3F"/>
    <w:rsid w:val="700C69D5"/>
    <w:rsid w:val="73AD1541"/>
    <w:rsid w:val="73BF3251"/>
    <w:rsid w:val="74590912"/>
    <w:rsid w:val="77374E6B"/>
    <w:rsid w:val="777375E5"/>
    <w:rsid w:val="784D58A5"/>
    <w:rsid w:val="78D47BF3"/>
    <w:rsid w:val="7AB2498F"/>
    <w:rsid w:val="7B5F544E"/>
    <w:rsid w:val="7BB67C3A"/>
    <w:rsid w:val="7D4356ED"/>
    <w:rsid w:val="7D8542FE"/>
    <w:rsid w:val="7E8D4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5"/>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3"/>
    <w:unhideWhenUsed/>
    <w:qFormat/>
    <w:uiPriority w:val="0"/>
    <w:pPr>
      <w:keepNext/>
      <w:keepLines/>
      <w:spacing w:beforeLines="100" w:afterLines="100"/>
      <w:jc w:val="center"/>
      <w:outlineLvl w:val="2"/>
    </w:pPr>
    <w:rPr>
      <w:rFonts w:eastAsia="黑体"/>
    </w:rPr>
  </w:style>
  <w:style w:type="character" w:default="1" w:styleId="7">
    <w:name w:val="Default Paragraph Font"/>
    <w:link w:val="8"/>
    <w:unhideWhenUsed/>
    <w:qFormat/>
    <w:uiPriority w:val="1"/>
    <w:rPr>
      <w:szCs w:val="20"/>
    </w:rPr>
  </w:style>
  <w:style w:type="table" w:default="1" w:styleId="10">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rFonts w:ascii="宋体" w:hAnsi="宋体"/>
      <w:sz w:val="28"/>
    </w:rPr>
  </w:style>
  <w:style w:type="paragraph" w:styleId="6">
    <w:name w:val="header"/>
    <w:basedOn w:val="1"/>
    <w:link w:val="1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8">
    <w:name w:val=" Char"/>
    <w:basedOn w:val="1"/>
    <w:link w:val="7"/>
    <w:qFormat/>
    <w:uiPriority w:val="0"/>
    <w:rPr>
      <w:szCs w:val="20"/>
    </w:rPr>
  </w:style>
  <w:style w:type="character" w:styleId="9">
    <w:name w:val="page number"/>
    <w:basedOn w:val="7"/>
    <w:qFormat/>
    <w:uiPriority w:val="0"/>
  </w:style>
  <w:style w:type="table" w:styleId="11">
    <w:name w:val="Table Grid"/>
    <w:basedOn w:val="10"/>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
    <w:name w:val="页眉 Char"/>
    <w:basedOn w:val="7"/>
    <w:link w:val="6"/>
    <w:qFormat/>
    <w:uiPriority w:val="0"/>
    <w:rPr>
      <w:sz w:val="18"/>
      <w:szCs w:val="18"/>
    </w:rPr>
  </w:style>
  <w:style w:type="character" w:customStyle="1" w:styleId="13">
    <w:name w:val="标题 3 Char"/>
    <w:link w:val="4"/>
    <w:qFormat/>
    <w:uiPriority w:val="0"/>
    <w:rPr>
      <w:rFonts w:eastAsia="黑体"/>
    </w:rPr>
  </w:style>
  <w:style w:type="character" w:customStyle="1" w:styleId="14">
    <w:name w:val="页脚 Char"/>
    <w:basedOn w:val="7"/>
    <w:link w:val="5"/>
    <w:qFormat/>
    <w:uiPriority w:val="0"/>
    <w:rPr>
      <w:sz w:val="18"/>
      <w:szCs w:val="18"/>
    </w:rPr>
  </w:style>
  <w:style w:type="character" w:customStyle="1" w:styleId="15">
    <w:name w:val="标题 2 Char"/>
    <w:basedOn w:val="7"/>
    <w:link w:val="3"/>
    <w:qFormat/>
    <w:uiPriority w:val="0"/>
    <w:rPr>
      <w:rFonts w:ascii="Arial" w:hAnsi="Arial" w:eastAsia="楷体"/>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2017-12-13T07:08:00Z</cp:lastPrinted>
  <dcterms:modified xsi:type="dcterms:W3CDTF">2018-01-08T01:08:00Z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