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160" w:beforeLines="200" w:after="100" w:afterLines="0" w:line="620" w:lineRule="exact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宋体" w:hAnsi="宋体" w:eastAsia="宋体" w:cs="宋体"/>
          <w:b w:val="0"/>
          <w:bCs/>
          <w:lang w:eastAsia="zh-CN"/>
        </w:rPr>
      </w:pPr>
      <w:r>
        <w:rPr>
          <w:rFonts w:hint="eastAsia" w:ascii="宋体" w:hAnsi="宋体" w:eastAsia="宋体" w:cs="宋体"/>
          <w:b w:val="0"/>
          <w:bCs/>
          <w:lang w:eastAsia="zh-CN"/>
        </w:rPr>
        <w:t>福建省人民代表大会常务委员会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100" w:afterLines="0" w:line="620" w:lineRule="exact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宋体" w:hAnsi="宋体" w:eastAsia="宋体" w:cs="宋体"/>
          <w:b w:val="0"/>
          <w:bCs/>
          <w:lang w:eastAsia="zh-CN"/>
        </w:rPr>
      </w:pPr>
      <w:r>
        <w:rPr>
          <w:rFonts w:hint="eastAsia" w:ascii="宋体" w:hAnsi="宋体" w:eastAsia="宋体" w:cs="宋体"/>
          <w:b w:val="0"/>
          <w:bCs/>
          <w:lang w:eastAsia="zh-CN"/>
        </w:rPr>
        <w:t>关于福建省人民代表大会常务委员会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100" w:afterLines="0" w:line="620" w:lineRule="exact"/>
        <w:ind w:left="0" w:leftChars="0" w:right="0" w:rightChars="0" w:firstLine="0" w:firstLineChars="0"/>
        <w:jc w:val="center"/>
        <w:textAlignment w:val="auto"/>
        <w:outlineLvl w:val="0"/>
        <w:rPr>
          <w:rFonts w:hint="default" w:ascii="Times New Roman" w:hAnsi="Times New Roman" w:cs="Times New Roman"/>
          <w:lang w:eastAsia="zh-CN"/>
        </w:rPr>
      </w:pPr>
      <w:r>
        <w:rPr>
          <w:rFonts w:hint="eastAsia" w:ascii="宋体" w:hAnsi="宋体" w:eastAsia="宋体" w:cs="宋体"/>
          <w:b w:val="0"/>
          <w:bCs/>
          <w:lang w:eastAsia="zh-CN"/>
        </w:rPr>
        <w:t xml:space="preserve">平潭综合实验区工作委员会的若干规定 </w:t>
      </w:r>
      <w:r>
        <w:rPr>
          <w:rFonts w:hint="default" w:ascii="Times New Roman" w:hAnsi="Times New Roman" w:cs="Times New Roman"/>
          <w:lang w:eastAsia="zh-CN"/>
        </w:rPr>
        <w:t xml:space="preserve"> 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81" w:beforeLines="100" w:after="581" w:afterLines="100" w:line="620" w:lineRule="exact"/>
        <w:ind w:left="632" w:leftChars="200" w:right="632" w:rightChars="200" w:firstLine="0" w:firstLineChars="0"/>
        <w:jc w:val="left"/>
        <w:textAlignment w:val="auto"/>
        <w:outlineLvl w:val="1"/>
        <w:rPr>
          <w:rFonts w:hint="default" w:ascii="Times New Roman" w:hAnsi="Times New Roman" w:eastAsia="黑体" w:cs="Times New Roman"/>
          <w:sz w:val="32"/>
          <w:lang w:eastAsia="zh-CN"/>
        </w:rPr>
      </w:pPr>
      <w:r>
        <w:rPr>
          <w:rFonts w:hint="eastAsia" w:ascii="楷体_GB2312" w:hAnsi="楷体_GB2312" w:cs="楷体_GB2312"/>
          <w:lang w:eastAsia="zh-CN"/>
        </w:rPr>
        <w:t>（</w:t>
      </w:r>
      <w:r>
        <w:rPr>
          <w:rFonts w:hint="eastAsia" w:ascii="楷体_GB2312" w:hAnsi="楷体_GB2312" w:eastAsia="楷体_GB2312" w:cs="楷体_GB2312"/>
          <w:lang w:eastAsia="zh-CN"/>
        </w:rPr>
        <w:t>2014年9月26日</w:t>
      </w:r>
      <w:bookmarkStart w:id="0" w:name="_GoBack"/>
      <w:bookmarkEnd w:id="0"/>
      <w:r>
        <w:rPr>
          <w:rFonts w:hint="eastAsia" w:ascii="楷体_GB2312" w:hAnsi="楷体_GB2312" w:eastAsia="楷体_GB2312" w:cs="楷体_GB2312"/>
          <w:lang w:eastAsia="zh-CN"/>
        </w:rPr>
        <w:t>福建省第十二届人民代表大会常务委员会第十一次会议通过</w:t>
      </w:r>
      <w:r>
        <w:rPr>
          <w:rFonts w:hint="eastAsia" w:ascii="楷体_GB2312" w:hAnsi="楷体_GB2312" w:cs="楷体_GB2312"/>
          <w:lang w:eastAsia="zh-CN"/>
        </w:rPr>
        <w:t>）</w:t>
      </w:r>
    </w:p>
    <w:p>
      <w:pPr>
        <w:rPr>
          <w:rFonts w:hint="default" w:ascii="Times New Roman" w:hAnsi="Times New Roman" w:eastAsia="黑体" w:cs="Times New Roman"/>
          <w:sz w:val="32"/>
          <w:lang w:eastAsia="zh-CN"/>
        </w:rPr>
      </w:pPr>
      <w:r>
        <w:rPr>
          <w:rFonts w:hint="default" w:ascii="Times New Roman" w:hAnsi="Times New Roman" w:eastAsia="黑体" w:cs="Times New Roman"/>
          <w:sz w:val="32"/>
          <w:lang w:eastAsia="zh-CN"/>
        </w:rPr>
        <w:t>第一条</w:t>
      </w:r>
      <w:r>
        <w:rPr>
          <w:rFonts w:hint="default" w:ascii="Times New Roman" w:hAnsi="Times New Roman" w:cs="Times New Roman"/>
          <w:lang w:eastAsia="zh-CN"/>
        </w:rPr>
        <w:t xml:space="preserve">　为保障福建省人民代表大会常务委员会（以下简称省人大常委会）平潭综合实验区工作委员会（以下简称实验区人大工委）依法履行职责，根据《中华人民共和国地方各级人民代表大会和地方各级人民政府组织法》等法律法规，结合本省实际，制定本规定。 </w:t>
      </w:r>
    </w:p>
    <w:p>
      <w:pPr>
        <w:rPr>
          <w:rFonts w:hint="default" w:ascii="Times New Roman" w:hAnsi="Times New Roman" w:eastAsia="黑体" w:cs="Times New Roman"/>
          <w:sz w:val="32"/>
          <w:lang w:eastAsia="zh-CN"/>
        </w:rPr>
      </w:pPr>
      <w:r>
        <w:rPr>
          <w:rFonts w:hint="default" w:ascii="Times New Roman" w:hAnsi="Times New Roman" w:eastAsia="黑体" w:cs="Times New Roman"/>
          <w:sz w:val="32"/>
          <w:lang w:eastAsia="zh-CN"/>
        </w:rPr>
        <w:t>第二条</w:t>
      </w:r>
      <w:r>
        <w:rPr>
          <w:rFonts w:hint="default" w:ascii="Times New Roman" w:hAnsi="Times New Roman" w:cs="Times New Roman"/>
          <w:lang w:eastAsia="zh-CN"/>
        </w:rPr>
        <w:t xml:space="preserve">　实验区人大工委是省人大常委会派出机构，对省人大常委会负责并报告工作。 </w:t>
      </w: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eastAsia="黑体" w:cs="Times New Roman"/>
          <w:sz w:val="32"/>
          <w:lang w:eastAsia="zh-CN"/>
        </w:rPr>
        <w:t>第三条</w:t>
      </w:r>
      <w:r>
        <w:rPr>
          <w:rFonts w:hint="default" w:ascii="Times New Roman" w:hAnsi="Times New Roman" w:cs="Times New Roman"/>
          <w:lang w:eastAsia="zh-CN"/>
        </w:rPr>
        <w:t xml:space="preserve">　实验区人大工委履行下列职责: </w:t>
      </w: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（一）保证宪法、法律、法规以及全国人大及其常委会和省人大及其常委会决议、决定在本区域内的遵守和执行； </w:t>
      </w: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（二）检查本区域国民经济和社会发展情况，有关国家机关依法行政、公正司法情况； </w:t>
      </w: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（三）促进国家和本省赋予实验区的有关政策的落实，支持实验区在两岸交流合作和体制机制改革创新等方面先行先试； </w:t>
      </w: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（四）受省人大常委会主任会议委托，对拟列入省人大常委会会议审议的有关事项，开展调查研究，提出意见、建议； </w:t>
      </w: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（五）做好省人大常委会与本区域内各级人大的联系工作，指导本区域内人民代表大会代表的选举工作，支持台湾同胞参加代表选举，参与管理公共事务； </w:t>
      </w: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（六）做好与本区域内省人大代表的联系工作，组织开展集中视察、专题调研等活动，督促本区域有关部门依法办理代表建议、批评和意见； </w:t>
      </w:r>
    </w:p>
    <w:p>
      <w:pPr>
        <w:rPr>
          <w:rFonts w:hint="default" w:ascii="Times New Roman" w:hAnsi="Times New Roman" w:eastAsia="黑体" w:cs="Times New Roman"/>
          <w:sz w:val="32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（七）办理省人大常委会交办的其他事项。 </w:t>
      </w: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eastAsia="黑体" w:cs="Times New Roman"/>
          <w:sz w:val="32"/>
          <w:lang w:eastAsia="zh-CN"/>
        </w:rPr>
        <w:t>第四条</w:t>
      </w:r>
      <w:r>
        <w:rPr>
          <w:rFonts w:hint="default" w:ascii="Times New Roman" w:hAnsi="Times New Roman" w:cs="Times New Roman"/>
          <w:lang w:eastAsia="zh-CN"/>
        </w:rPr>
        <w:t xml:space="preserve">　实验区人大工委由主任、副主任、委员组成。 </w:t>
      </w: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实验区人大工委主任、副主任由省人大常委会主任会议提请省人大常委会任免。委员由实验区人大工委任免，并报省人大常委会备案。 </w:t>
      </w:r>
    </w:p>
    <w:p>
      <w:pPr>
        <w:rPr>
          <w:rFonts w:hint="default" w:ascii="Times New Roman" w:hAnsi="Times New Roman" w:eastAsia="黑体" w:cs="Times New Roman"/>
          <w:sz w:val="32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实验区人大工委主任、副主任、委员不得担任国家行政机关、审判机关或者检察机关的职务。 </w:t>
      </w: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eastAsia="黑体" w:cs="Times New Roman"/>
          <w:sz w:val="32"/>
          <w:lang w:eastAsia="zh-CN"/>
        </w:rPr>
        <w:t>第五条</w:t>
      </w:r>
      <w:r>
        <w:rPr>
          <w:rFonts w:hint="default" w:ascii="Times New Roman" w:hAnsi="Times New Roman" w:cs="Times New Roman"/>
          <w:lang w:eastAsia="zh-CN"/>
        </w:rPr>
        <w:t xml:space="preserve">　实验区人大工委讨论决定有关事项，实行民主集中制原则。 </w:t>
      </w:r>
    </w:p>
    <w:p>
      <w:pPr>
        <w:rPr>
          <w:rFonts w:hint="default" w:ascii="Times New Roman" w:hAnsi="Times New Roman" w:eastAsia="黑体" w:cs="Times New Roman"/>
          <w:sz w:val="32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实验区人大工委会议由主任召集，也可以由主任委托副主任召集。 </w:t>
      </w:r>
    </w:p>
    <w:p>
      <w:pPr>
        <w:rPr>
          <w:rFonts w:hint="default" w:ascii="Times New Roman" w:hAnsi="Times New Roman" w:eastAsia="黑体" w:cs="Times New Roman"/>
          <w:sz w:val="32"/>
          <w:lang w:eastAsia="zh-CN"/>
        </w:rPr>
      </w:pPr>
      <w:r>
        <w:rPr>
          <w:rFonts w:hint="default" w:ascii="Times New Roman" w:hAnsi="Times New Roman" w:eastAsia="黑体" w:cs="Times New Roman"/>
          <w:sz w:val="32"/>
          <w:lang w:eastAsia="zh-CN"/>
        </w:rPr>
        <w:t>第六条</w:t>
      </w:r>
      <w:r>
        <w:rPr>
          <w:rFonts w:hint="default" w:ascii="Times New Roman" w:hAnsi="Times New Roman" w:cs="Times New Roman"/>
          <w:lang w:eastAsia="zh-CN"/>
        </w:rPr>
        <w:t xml:space="preserve">　实验区人大工委根据工作需要，遵循精简、高效、科学的原则，设置必要的办事机构和工作机构。 </w:t>
      </w:r>
    </w:p>
    <w:p>
      <w:pPr>
        <w:rPr>
          <w:rFonts w:hint="default" w:ascii="Times New Roman" w:hAnsi="Times New Roman" w:eastAsia="黑体" w:cs="Times New Roman"/>
          <w:sz w:val="32"/>
          <w:lang w:eastAsia="zh-CN"/>
        </w:rPr>
      </w:pPr>
      <w:r>
        <w:rPr>
          <w:rFonts w:hint="default" w:ascii="Times New Roman" w:hAnsi="Times New Roman" w:eastAsia="黑体" w:cs="Times New Roman"/>
          <w:sz w:val="32"/>
          <w:lang w:eastAsia="zh-CN"/>
        </w:rPr>
        <w:t>第七条</w:t>
      </w:r>
      <w:r>
        <w:rPr>
          <w:rFonts w:hint="default" w:ascii="Times New Roman" w:hAnsi="Times New Roman" w:cs="Times New Roman"/>
          <w:lang w:eastAsia="zh-CN"/>
        </w:rPr>
        <w:t xml:space="preserve">　实验区人大工委的工作经费列入实验区财政预算。 </w:t>
      </w: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eastAsia="黑体" w:cs="Times New Roman"/>
          <w:sz w:val="32"/>
          <w:lang w:eastAsia="zh-CN"/>
        </w:rPr>
        <w:t>第八条</w:t>
      </w:r>
      <w:r>
        <w:rPr>
          <w:rFonts w:hint="default" w:ascii="Times New Roman" w:hAnsi="Times New Roman" w:cs="Times New Roman"/>
          <w:lang w:eastAsia="zh-CN"/>
        </w:rPr>
        <w:t xml:space="preserve">　本规定自公布之日起施行。 </w:t>
      </w:r>
    </w:p>
    <w:p>
      <w:pPr>
        <w:rPr>
          <w:rFonts w:hint="default" w:ascii="Times New Roman" w:hAnsi="Times New Roman" w:cs="Times New Roman"/>
          <w:lang w:eastAsia="zh-CN"/>
        </w:rPr>
      </w:pPr>
    </w:p>
    <w:sectPr>
      <w:footerReference r:id="rId3" w:type="default"/>
      <w:pgSz w:w="11906" w:h="16838"/>
      <w:pgMar w:top="2098" w:right="1531" w:bottom="1984" w:left="1531" w:header="851" w:footer="992" w:gutter="0"/>
      <w:cols w:space="720" w:num="1"/>
      <w:rtlGutter w:val="0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+西文正文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NJWO7QAAAABQEAAA8AAAAAAAAA&#10;AQAgAAAAIgAAAGRycy9kb3ducmV2LnhtbFBLAQIUABQAAAAIAIdO4kArqOpyGQIAACEEAAAOAAAA&#10;AAAAAAEAIAAAAB8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HorizontalSpacing w:val="158"/>
  <w:drawingGridVerticalSpacing w:val="29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586"/>
    <w:rsid w:val="001D7586"/>
    <w:rsid w:val="08B0081A"/>
    <w:rsid w:val="0EA43D61"/>
    <w:rsid w:val="11A62A4B"/>
    <w:rsid w:val="158D7161"/>
    <w:rsid w:val="2BC0621F"/>
    <w:rsid w:val="307F71DE"/>
    <w:rsid w:val="397A48AC"/>
    <w:rsid w:val="3CDA362F"/>
    <w:rsid w:val="480322FD"/>
    <w:rsid w:val="48260A1F"/>
    <w:rsid w:val="4B9C1B64"/>
    <w:rsid w:val="5187235B"/>
    <w:rsid w:val="534440F4"/>
    <w:rsid w:val="5D863DC9"/>
    <w:rsid w:val="5E013713"/>
    <w:rsid w:val="64464972"/>
    <w:rsid w:val="6C3F0EB0"/>
    <w:rsid w:val="6EFD324F"/>
    <w:rsid w:val="7B0F7B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1090" w:firstLineChars="200"/>
      <w:jc w:val="left"/>
    </w:pPr>
    <w:rPr>
      <w:rFonts w:ascii="Calibri" w:hAnsi="Calibri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3"/>
    <w:next w:val="4"/>
    <w:link w:val="10"/>
    <w:qFormat/>
    <w:uiPriority w:val="0"/>
    <w:pPr>
      <w:keepNext/>
      <w:keepLines/>
      <w:spacing w:before="200" w:beforeLines="200" w:beforeAutospacing="0" w:afterLines="0" w:afterAutospacing="0" w:line="620" w:lineRule="exact"/>
      <w:ind w:firstLine="872"/>
      <w:jc w:val="center"/>
      <w:outlineLvl w:val="0"/>
    </w:pPr>
    <w:rPr>
      <w:rFonts w:ascii="Calibri" w:hAnsi="Calibri" w:eastAsia="宋体"/>
      <w:kern w:val="44"/>
      <w:sz w:val="44"/>
    </w:rPr>
  </w:style>
  <w:style w:type="paragraph" w:styleId="4">
    <w:name w:val="heading 2"/>
    <w:basedOn w:val="1"/>
    <w:next w:val="5"/>
    <w:link w:val="12"/>
    <w:unhideWhenUsed/>
    <w:qFormat/>
    <w:uiPriority w:val="0"/>
    <w:pPr>
      <w:keepNext/>
      <w:keepLines/>
      <w:spacing w:before="100" w:beforeLines="100" w:beforeAutospacing="0" w:afterAutospacing="0" w:line="620" w:lineRule="exact"/>
      <w:ind w:left="632" w:leftChars="200" w:right="632" w:rightChars="200" w:firstLine="0" w:firstLineChars="0"/>
      <w:jc w:val="left"/>
      <w:outlineLvl w:val="1"/>
    </w:pPr>
    <w:rPr>
      <w:rFonts w:ascii="Arial" w:hAnsi="Arial" w:eastAsia="楷体_GB2312"/>
    </w:rPr>
  </w:style>
  <w:style w:type="paragraph" w:styleId="5">
    <w:name w:val="heading 3"/>
    <w:basedOn w:val="1"/>
    <w:next w:val="1"/>
    <w:link w:val="11"/>
    <w:unhideWhenUsed/>
    <w:qFormat/>
    <w:uiPriority w:val="0"/>
    <w:pPr>
      <w:keepNext/>
      <w:keepLines/>
      <w:spacing w:before="100" w:beforeLines="100" w:beforeAutospacing="0" w:after="100" w:afterLines="100" w:afterAutospacing="0" w:line="620" w:lineRule="exact"/>
      <w:ind w:firstLine="872"/>
      <w:jc w:val="center"/>
      <w:outlineLvl w:val="2"/>
    </w:pPr>
    <w:rPr>
      <w:rFonts w:eastAsia="黑体"/>
      <w:b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Title"/>
    <w:basedOn w:val="1"/>
    <w:qFormat/>
    <w:uiPriority w:val="0"/>
    <w:pPr>
      <w:spacing w:before="100" w:beforeLines="100" w:beforeAutospacing="0" w:after="100" w:afterLines="100" w:afterAutospacing="0" w:line="620" w:lineRule="exact"/>
      <w:ind w:firstLine="872"/>
      <w:jc w:val="center"/>
      <w:outlineLvl w:val="0"/>
    </w:pPr>
    <w:rPr>
      <w:rFonts w:ascii="Arial" w:hAnsi="Arial" w:eastAsia="黑体"/>
      <w:b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0">
    <w:name w:val="标题 1 Char"/>
    <w:link w:val="2"/>
    <w:qFormat/>
    <w:uiPriority w:val="0"/>
    <w:rPr>
      <w:rFonts w:ascii="Calibri" w:hAnsi="Calibri" w:eastAsia="宋体"/>
      <w:kern w:val="44"/>
      <w:sz w:val="44"/>
    </w:rPr>
  </w:style>
  <w:style w:type="character" w:customStyle="1" w:styleId="11">
    <w:name w:val="标题 3 Char"/>
    <w:link w:val="5"/>
    <w:qFormat/>
    <w:uiPriority w:val="0"/>
    <w:rPr>
      <w:rFonts w:eastAsia="黑体"/>
      <w:b/>
    </w:rPr>
  </w:style>
  <w:style w:type="character" w:customStyle="1" w:styleId="12">
    <w:name w:val="标题 2 Char"/>
    <w:link w:val="4"/>
    <w:qFormat/>
    <w:uiPriority w:val="0"/>
    <w:rPr>
      <w:rFonts w:ascii="Arial" w:hAnsi="Arial" w:eastAsia="楷体_GB231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2017-02-07T02:07:00Z</dcterms:created>
  <dc:creator>Administrator</dc:creator>
  <cp:lastModifiedBy>a</cp:lastModifiedBy>
  <dcterms:modified xsi:type="dcterms:W3CDTF">2017-02-16T11:55:37Z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