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福建省公证工作若干规定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（1994年11月19日福建省第八届人民代表大会常务委员会第十三次会议通过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根据2002年3月28日福建省第九届人民代表大会常务委员会第三十一次会议《福建省人民代表大会常务委员会关于修改〈福建省公证工作若干规定〉的决定》修正）</w:t>
      </w: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第一条  </w:t>
      </w:r>
      <w:r>
        <w:rPr>
          <w:rFonts w:hint="eastAsia"/>
          <w:lang w:eastAsia="zh-CN"/>
        </w:rPr>
        <w:t>为引导、规范、监督、保证当事人依法从事民事、经济活动，维护公民、法人及其他组织的合法权益，预防纠纷，减少诉讼，根据有关法律、法规</w:t>
      </w:r>
      <w:r>
        <w:rPr>
          <w:rFonts w:hint="eastAsia" w:ascii="仿宋_GB2312" w:hAnsi="仿宋_GB2312" w:eastAsia="仿宋_GB2312" w:cs="仿宋_GB2312"/>
          <w:lang w:eastAsia="zh-CN"/>
        </w:rPr>
        <w:t>，结合</w:t>
      </w:r>
      <w:r>
        <w:rPr>
          <w:rFonts w:hint="eastAsia"/>
          <w:lang w:eastAsia="zh-CN"/>
        </w:rPr>
        <w:t>本省实际，制定本规定。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第二条  </w:t>
      </w:r>
      <w:r>
        <w:rPr>
          <w:rFonts w:hint="eastAsia"/>
          <w:lang w:eastAsia="zh-CN"/>
        </w:rPr>
        <w:t>公证处依照事实和法律证明法律行为、法律事实和文书的真实性、合法性，并办理与公证有关的法律事务。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第三条  </w:t>
      </w:r>
      <w:r>
        <w:rPr>
          <w:rFonts w:hint="eastAsia"/>
          <w:lang w:eastAsia="zh-CN"/>
        </w:rPr>
        <w:t>公证处依法出具的公证书具有法律效力；公证书应当作为人民法院、仲裁机构、行政管理机关作出判决、裁决、决定的依据；当鉴证（监证）、见证等其他证明与公证书不一致时，以公证书为准。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第四条  </w:t>
      </w:r>
      <w:r>
        <w:rPr>
          <w:rFonts w:hint="eastAsia"/>
          <w:lang w:eastAsia="zh-CN"/>
        </w:rPr>
        <w:t>公证员不得办理本人、配偶或本人、配偶的近亲属申请办理的公证事务，也不得办理与本人或配偶有利害关系的公证事务。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第五条  </w:t>
      </w:r>
      <w:r>
        <w:rPr>
          <w:rFonts w:hint="eastAsia"/>
          <w:lang w:eastAsia="zh-CN"/>
        </w:rPr>
        <w:t>公证员及接触公证事务的人员，应当保守国家秘密和当事人的秘密。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第六条  </w:t>
      </w:r>
      <w:r>
        <w:rPr>
          <w:rFonts w:hint="eastAsia"/>
          <w:lang w:eastAsia="zh-CN"/>
        </w:rPr>
        <w:t>公证处依法证明下列法律行为、法律事实和文书的真实性、合法性：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（一）合同、协议、章程；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（二）财产赠与、分割、抵押、有偿转让、委托代管；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（三）继承权、遗嘱；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（四）亲属关系、收养关系；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（五）出生、生存、死亡、婚姻状况；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（六）身份、学历、经历；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（七）债权债务状况；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（八）不可抗力事件；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（九）法人的资格、资信情况和财产状况；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（十）文件的副本、节本、译本、影印本与原件；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（十一）文书、证件的制作日期以及签名、印鉴；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（十二）其他有法律意义的行为、事实、文书。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第七条  </w:t>
      </w:r>
      <w:r>
        <w:rPr>
          <w:rFonts w:hint="eastAsia"/>
          <w:lang w:eastAsia="zh-CN"/>
        </w:rPr>
        <w:t>下列法律行为、法律事实和文书，当事人应当向公证处申请办理公证：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（一）拆除依法代管房屋的安置、补偿协议及其证据保全；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（二）国有资产的转让协议，境外国有资产以个人名义进行产权注册的委托协议；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（三）依法向社会发行的各类奖券、彩票的开奖活动及应当报废的奖券、彩票；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（四）法律、法规规定应当办理公证的其他事项。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违反前款规定未进行公证，给国家、集体或个人造成损失的，有关责任人员应当承担相应的法律责任。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第八条  </w:t>
      </w:r>
      <w:r>
        <w:rPr>
          <w:rFonts w:hint="eastAsia"/>
          <w:lang w:eastAsia="zh-CN"/>
        </w:rPr>
        <w:t>公证处可以办理下列与公证有关的法律事务：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（一）清点财产、封存样品；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（二）保管遗嘱和其他文书；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（三）根据当事人的申请，依法调解经公证的合同（协议）在履行过程中发生的纠纷。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第九条  </w:t>
      </w:r>
      <w:r>
        <w:rPr>
          <w:rFonts w:hint="eastAsia"/>
          <w:lang w:eastAsia="zh-CN"/>
        </w:rPr>
        <w:t>根据当事人的申请，公证处对可能灭失或难以取得的证据材料，可以办理证据保全公证。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第十条  </w:t>
      </w:r>
      <w:r>
        <w:rPr>
          <w:rFonts w:hint="eastAsia"/>
          <w:lang w:eastAsia="zh-CN"/>
        </w:rPr>
        <w:t>依法设立的债权债务关系，有下列情形之一的，债务人可以将标的物交由公证处提存：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（一）债权人无正当理由拒绝或延迟接受履行；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由于债权人不清或其他原因致使债务人无法履行义务；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（三）</w:t>
      </w:r>
      <w:bookmarkStart w:id="0" w:name="_GoBack"/>
      <w:bookmarkEnd w:id="0"/>
      <w:r>
        <w:rPr>
          <w:rFonts w:hint="eastAsia"/>
          <w:lang w:eastAsia="zh-CN"/>
        </w:rPr>
        <w:t>债权人与债务人约定用提存方式先行给付标的物。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办理提存后，即视为债务人履行了义务。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第十一条  </w:t>
      </w:r>
      <w:r>
        <w:rPr>
          <w:rFonts w:hint="eastAsia"/>
          <w:lang w:eastAsia="zh-CN"/>
        </w:rPr>
        <w:t>公证处办理提存后，应当通知债权人在确定的期限内领取提存的物品、货币或者有价证券；对不易保存或者债权人逾期不领取的提存物品，公证处可以变卖保存价金。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因提存支出的费用，由债权人承担。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第十二条  </w:t>
      </w:r>
      <w:r>
        <w:rPr>
          <w:rFonts w:hint="eastAsia"/>
          <w:lang w:eastAsia="zh-CN"/>
        </w:rPr>
        <w:t>符合下列条件的债权文书，债务人不履行义务时，公证处可以根据债权人的申请，出具具有强制执行效力的公证书，由债权人向人民法院申请强制执行：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（一）债权文书真实合法；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（二）债权文书以给付货币、物品或有价证券为内容；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（三）债权文书中载明债务人不履行义务时自愿接受强制执行的意思表示。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第十三条  </w:t>
      </w:r>
      <w:r>
        <w:rPr>
          <w:rFonts w:hint="eastAsia"/>
          <w:lang w:eastAsia="zh-CN"/>
        </w:rPr>
        <w:t>人民法院接到申请人提交的具有强制执行效力的公证书后，应当依法及时执行；但发现公证书确有错误的，应当裁定不予执行，并将裁定书送达当事人和公证处。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第十四条  </w:t>
      </w:r>
      <w:r>
        <w:rPr>
          <w:rFonts w:hint="eastAsia"/>
          <w:lang w:eastAsia="zh-CN"/>
        </w:rPr>
        <w:t>公证处对符合下列条件的公证申请，应予受理：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（一）申请人与申请公证的事项有利害关系；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（二）申请公证事项的当事人、利害关系人之间对申请公证的事项无争议；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（三）申请公证的事项属于公证处的业务范围；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（四）申请公证的事项属于受理公证处管辖。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第十五条  </w:t>
      </w:r>
      <w:r>
        <w:rPr>
          <w:rFonts w:hint="eastAsia"/>
          <w:lang w:eastAsia="zh-CN"/>
        </w:rPr>
        <w:t>公证处受理公证申请后，应查明当事人的身份和民事行为能力，审查当事人申请公证的事项以及所提供的证件、材料是否真实、合法，认为证件、材料不完备或有疑义的，可以要求当事人补充或解释。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第十六条  </w:t>
      </w:r>
      <w:r>
        <w:rPr>
          <w:rFonts w:hint="eastAsia"/>
          <w:lang w:eastAsia="zh-CN"/>
        </w:rPr>
        <w:t>公证员在办理公证过程中，有权就公证事项进行调查，依法查询有关档案、资料、资产等情况，有权检验物证、勘验现场，有关单位和个人应当给予配合协助。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第十七条  </w:t>
      </w:r>
      <w:r>
        <w:rPr>
          <w:rFonts w:hint="eastAsia"/>
          <w:lang w:eastAsia="zh-CN"/>
        </w:rPr>
        <w:t>公证处办理公证事项应当在受理之日起十日内出证；重大复杂的或者需要委托其他公证处调查的公证事项，可适当延长，但最长不得超过四十五日。</w:t>
      </w:r>
    </w:p>
    <w:p>
      <w:pPr>
        <w:rPr>
          <w:rFonts w:hint="eastAsia"/>
          <w:spacing w:val="-6"/>
          <w:lang w:eastAsia="zh-CN"/>
        </w:rPr>
      </w:pPr>
      <w:r>
        <w:rPr>
          <w:rFonts w:hint="eastAsia" w:eastAsia="黑体"/>
          <w:lang w:eastAsia="zh-CN"/>
        </w:rPr>
        <w:t xml:space="preserve">第十八条  </w:t>
      </w:r>
      <w:r>
        <w:rPr>
          <w:rFonts w:hint="eastAsia"/>
          <w:spacing w:val="-6"/>
          <w:lang w:eastAsia="zh-CN"/>
        </w:rPr>
        <w:t>公民、法人或者其他组织应当如实向公证处提供证据材料。当事人向公证处提供虚假证明材料欺骗公证处的，公证处有权给予批评教育、责令具结悔过，并可以中止办证；造成危害后果的，提供虚假证明材料的当事人应当承担相应的法律责任。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公证处对出具伪证的公民、法人和其他组织，可以向有关部门出具追究法律责任的建议，有关单位应当及时查处。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第十九条  </w:t>
      </w:r>
      <w:r>
        <w:rPr>
          <w:rFonts w:hint="eastAsia"/>
          <w:lang w:eastAsia="zh-CN"/>
        </w:rPr>
        <w:t>对于伪造、变造公证书的，由公安机关依照《中华人民共和国治安管理处罚条例》进行处罚；构成犯罪的，由司法机关追究刑事责任。</w:t>
      </w:r>
    </w:p>
    <w:p>
      <w:pPr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对于明知是伪造、变造的公证书而加以使用的，由司法行政机关视情节轻重处以五百元以上三千元以下的罚款。</w:t>
      </w:r>
    </w:p>
    <w:p>
      <w:pPr>
        <w:rPr>
          <w:rFonts w:hint="eastAsia" w:eastAsia="黑体"/>
          <w:spacing w:val="-6"/>
          <w:lang w:eastAsia="zh-CN"/>
        </w:rPr>
      </w:pPr>
      <w:r>
        <w:rPr>
          <w:rFonts w:hint="eastAsia" w:eastAsia="黑体"/>
          <w:lang w:eastAsia="zh-CN"/>
        </w:rPr>
        <w:t xml:space="preserve">第二十条  </w:t>
      </w:r>
      <w:r>
        <w:rPr>
          <w:rFonts w:hint="eastAsia"/>
          <w:spacing w:val="-6"/>
          <w:lang w:eastAsia="zh-CN"/>
        </w:rPr>
        <w:t>公证员履行职务应持有《公证员工作执照》。公证员应向省级司法行政机关办理《公证员工作执照》的年度注册手续。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第二十一条  </w:t>
      </w:r>
      <w:r>
        <w:rPr>
          <w:rFonts w:hint="eastAsia"/>
          <w:lang w:eastAsia="zh-CN"/>
        </w:rPr>
        <w:t>公证处出具错证，侵犯公民、法人或其他组织合法权益造成直接经济损失的，应当负赔偿责任。</w:t>
      </w:r>
    </w:p>
    <w:p>
      <w:pPr>
        <w:rPr>
          <w:rFonts w:hint="eastAsia" w:eastAsia="黑体"/>
          <w:spacing w:val="-6"/>
          <w:lang w:eastAsia="zh-CN"/>
        </w:rPr>
      </w:pPr>
      <w:r>
        <w:rPr>
          <w:rFonts w:hint="eastAsia"/>
          <w:spacing w:val="-6"/>
          <w:lang w:eastAsia="zh-CN"/>
        </w:rPr>
        <w:t>公证处赔偿后，可向有过错的公证员追索部分或全部赔偿费用。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第二十二条  </w:t>
      </w:r>
      <w:r>
        <w:rPr>
          <w:rFonts w:hint="eastAsia"/>
          <w:lang w:eastAsia="zh-CN"/>
        </w:rPr>
        <w:t>公证员在办理公证过程中玩忽职守、徇私舞弊、滥用职权的，视情节轻重，给予行政处分；构成犯罪的，依法追究刑事责任。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第二十三条  </w:t>
      </w:r>
      <w:r>
        <w:rPr>
          <w:rFonts w:hint="eastAsia"/>
          <w:lang w:eastAsia="zh-CN"/>
        </w:rPr>
        <w:t>对公证处作出的不予受理、拒绝公证、撤销或者不予撤销公证书的决定不服的，当事人可以向主管的司法行政机关申诉。</w:t>
      </w:r>
    </w:p>
    <w:p>
      <w:pPr>
        <w:rPr>
          <w:rFonts w:hint="eastAsia" w:eastAsia="黑体"/>
          <w:spacing w:val="-6"/>
          <w:lang w:eastAsia="zh-CN"/>
        </w:rPr>
      </w:pPr>
      <w:r>
        <w:rPr>
          <w:rFonts w:hint="eastAsia"/>
          <w:spacing w:val="-6"/>
          <w:lang w:eastAsia="zh-CN"/>
        </w:rPr>
        <w:t>对司法行政机关作出的处罚决定、撤销公证书决定以及申诉的处理决定不服的，当事人可以依法申请行政复议或提起行政诉讼。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第二十四条  </w:t>
      </w:r>
      <w:r>
        <w:rPr>
          <w:rFonts w:hint="eastAsia"/>
          <w:lang w:eastAsia="zh-CN"/>
        </w:rPr>
        <w:t>本规定由福建省人民政府负责解释。</w:t>
      </w:r>
    </w:p>
    <w:p>
      <w:pPr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第二十五条  </w:t>
      </w:r>
      <w:r>
        <w:rPr>
          <w:rFonts w:hint="eastAsia"/>
          <w:lang w:eastAsia="zh-CN"/>
        </w:rPr>
        <w:t>本规定自１９９５年１月１日起实施。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ahoma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Vivaldi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Candara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altName w:val="Harrington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altName w:val="Vivald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Maiandra GD">
    <w:altName w:val="Candara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11621F6A"/>
    <w:rsid w:val="14103ED2"/>
    <w:rsid w:val="14DF1382"/>
    <w:rsid w:val="1EA33493"/>
    <w:rsid w:val="23364216"/>
    <w:rsid w:val="271E2FC5"/>
    <w:rsid w:val="34680352"/>
    <w:rsid w:val="3BE85E9A"/>
    <w:rsid w:val="3C7A52F3"/>
    <w:rsid w:val="478B5B37"/>
    <w:rsid w:val="54D26CF5"/>
    <w:rsid w:val="68863CDC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6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qFormat/>
    <w:uiPriority w:val="0"/>
    <w:rPr>
      <w:rFonts w:eastAsia="宋体" w:asciiTheme="minorAscii" w:hAnsiTheme="minorAscii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2006-01-01T00:27:12Z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