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snapToGrid/>
        <w:spacing w:line="540" w:lineRule="exact"/>
        <w:jc w:val="both"/>
        <w:textAlignment w:val="auto"/>
        <w:rPr>
          <w:rFonts w:hint="default" w:ascii="Times New Roman" w:hAnsi="Times New Roman" w:eastAsia="黑体" w:cs="Times New Roman"/>
          <w:color w:val="000000" w:themeColor="text1"/>
          <w:sz w:val="32"/>
          <w:szCs w:val="32"/>
          <w:lang w:val="en-US" w:eastAsia="zh-CN"/>
          <w14:textFill>
            <w14:solidFill>
              <w14:schemeClr w14:val="tx1"/>
            </w14:solidFill>
          </w14:textFill>
        </w:rPr>
      </w:pPr>
      <w:r>
        <w:rPr>
          <w:rFonts w:hint="default" w:ascii="Times New Roman" w:hAnsi="Times New Roman" w:eastAsia="黑体" w:cs="Times New Roman"/>
          <w:color w:val="000000" w:themeColor="text1"/>
          <w:sz w:val="32"/>
          <w:szCs w:val="32"/>
          <w:lang w:val="en-US" w:eastAsia="zh-CN"/>
          <w14:textFill>
            <w14:solidFill>
              <w14:schemeClr w14:val="tx1"/>
            </w14:solidFill>
          </w14:textFill>
        </w:rPr>
        <w:t>附件</w:t>
      </w:r>
      <w:r>
        <w:rPr>
          <w:rFonts w:hint="eastAsia" w:eastAsia="黑体" w:cs="Times New Roman"/>
          <w:color w:val="000000" w:themeColor="text1"/>
          <w:sz w:val="32"/>
          <w:szCs w:val="32"/>
          <w:lang w:val="en-US" w:eastAsia="zh-CN"/>
          <w14:textFill>
            <w14:solidFill>
              <w14:schemeClr w14:val="tx1"/>
            </w14:solidFill>
          </w14:textFill>
        </w:rPr>
        <w:t>2</w:t>
      </w:r>
    </w:p>
    <w:p>
      <w:pPr>
        <w:keepNext w:val="0"/>
        <w:keepLines w:val="0"/>
        <w:pageBreakBefore w:val="0"/>
        <w:widowControl w:val="0"/>
        <w:kinsoku/>
        <w:wordWrap/>
        <w:overflowPunct/>
        <w:topLinePunct w:val="0"/>
        <w:autoSpaceDE/>
        <w:autoSpaceDN/>
        <w:bidi w:val="0"/>
        <w:adjustRightInd/>
        <w:snapToGrid/>
        <w:spacing w:line="600" w:lineRule="exact"/>
        <w:jc w:val="both"/>
        <w:textAlignment w:val="auto"/>
        <w:rPr>
          <w:rFonts w:hint="eastAsia" w:ascii="方正小标宋_GBK" w:hAnsi="方正小标宋_GBK" w:eastAsia="方正小标宋_GBK" w:cs="方正小标宋_GBK"/>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Theme="minorEastAsia" w:hAnsiTheme="minorEastAsia" w:eastAsiaTheme="minorEastAsia" w:cstheme="minorEastAsia"/>
          <w:b/>
          <w:bCs/>
          <w:color w:val="000000" w:themeColor="text1"/>
          <w:sz w:val="44"/>
          <w:szCs w:val="44"/>
          <w14:textFill>
            <w14:solidFill>
              <w14:schemeClr w14:val="tx1"/>
            </w14:solidFill>
          </w14:textFill>
        </w:rPr>
      </w:pPr>
      <w:r>
        <w:rPr>
          <w:rFonts w:hint="eastAsia" w:asciiTheme="minorEastAsia" w:hAnsiTheme="minorEastAsia" w:eastAsiaTheme="minorEastAsia" w:cstheme="minorEastAsia"/>
          <w:b/>
          <w:bCs/>
          <w:color w:val="000000" w:themeColor="text1"/>
          <w:sz w:val="44"/>
          <w:szCs w:val="44"/>
          <w14:textFill>
            <w14:solidFill>
              <w14:schemeClr w14:val="tx1"/>
            </w14:solidFill>
          </w14:textFill>
        </w:rPr>
        <w:t>福建省各级人民代表大会常务委员会</w:t>
      </w: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Theme="minorEastAsia" w:hAnsiTheme="minorEastAsia" w:eastAsiaTheme="minorEastAsia" w:cstheme="minorEastAsia"/>
          <w:b/>
          <w:bCs/>
          <w:color w:val="000000" w:themeColor="text1"/>
          <w:sz w:val="44"/>
          <w:szCs w:val="44"/>
          <w14:textFill>
            <w14:solidFill>
              <w14:schemeClr w14:val="tx1"/>
            </w14:solidFill>
          </w14:textFill>
        </w:rPr>
      </w:pPr>
      <w:r>
        <w:rPr>
          <w:rFonts w:hint="eastAsia" w:asciiTheme="minorEastAsia" w:hAnsiTheme="minorEastAsia" w:eastAsiaTheme="minorEastAsia" w:cstheme="minorEastAsia"/>
          <w:b/>
          <w:bCs/>
          <w:color w:val="000000" w:themeColor="text1"/>
          <w:sz w:val="44"/>
          <w:szCs w:val="44"/>
          <w14:textFill>
            <w14:solidFill>
              <w14:schemeClr w14:val="tx1"/>
            </w14:solidFill>
          </w14:textFill>
        </w:rPr>
        <w:t>规范性文件备案审查条例</w:t>
      </w:r>
    </w:p>
    <w:p>
      <w:pPr>
        <w:keepNext w:val="0"/>
        <w:keepLines w:val="0"/>
        <w:pageBreakBefore w:val="0"/>
        <w:widowControl w:val="0"/>
        <w:kinsoku/>
        <w:wordWrap/>
        <w:overflowPunct/>
        <w:topLinePunct w:val="0"/>
        <w:autoSpaceDE/>
        <w:autoSpaceDN/>
        <w:bidi w:val="0"/>
        <w:adjustRightInd/>
        <w:snapToGrid/>
        <w:spacing w:before="157" w:beforeLines="50" w:line="560" w:lineRule="exact"/>
        <w:jc w:val="center"/>
        <w:textAlignment w:val="auto"/>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w:t>
      </w:r>
      <w:r>
        <w:rPr>
          <w:rFonts w:hint="default" w:ascii="Times New Roman" w:hAnsi="Times New Roman" w:eastAsia="楷体_GB2312" w:cs="Times New Roman"/>
          <w:color w:val="000000" w:themeColor="text1"/>
          <w:sz w:val="32"/>
          <w:szCs w:val="32"/>
          <w14:textFill>
            <w14:solidFill>
              <w14:schemeClr w14:val="tx1"/>
            </w14:solidFill>
          </w14:textFill>
        </w:rPr>
        <w:t>20</w:t>
      </w:r>
      <w:r>
        <w:rPr>
          <w:rFonts w:hint="default" w:ascii="Times New Roman" w:hAnsi="Times New Roman" w:eastAsia="楷体_GB2312" w:cs="Times New Roman"/>
          <w:color w:val="000000" w:themeColor="text1"/>
          <w:sz w:val="32"/>
          <w:szCs w:val="32"/>
          <w:lang w:val="en-US" w:eastAsia="zh-CN"/>
          <w14:textFill>
            <w14:solidFill>
              <w14:schemeClr w14:val="tx1"/>
            </w14:solidFill>
          </w14:textFill>
        </w:rPr>
        <w:t>20</w:t>
      </w:r>
      <w:r>
        <w:rPr>
          <w:rFonts w:hint="default" w:ascii="Times New Roman" w:hAnsi="Times New Roman" w:eastAsia="楷体_GB2312" w:cs="Times New Roman"/>
          <w:color w:val="000000" w:themeColor="text1"/>
          <w:sz w:val="32"/>
          <w:szCs w:val="32"/>
          <w14:textFill>
            <w14:solidFill>
              <w14:schemeClr w14:val="tx1"/>
            </w14:solidFill>
          </w14:textFill>
        </w:rPr>
        <w:t>年</w:t>
      </w:r>
      <w:r>
        <w:rPr>
          <w:rFonts w:hint="default" w:ascii="Times New Roman" w:hAnsi="Times New Roman" w:eastAsia="楷体_GB2312" w:cs="Times New Roman"/>
          <w:color w:val="000000" w:themeColor="text1"/>
          <w:sz w:val="32"/>
          <w:szCs w:val="32"/>
          <w:lang w:val="en-US" w:eastAsia="zh-CN"/>
          <w14:textFill>
            <w14:solidFill>
              <w14:schemeClr w14:val="tx1"/>
            </w14:solidFill>
          </w14:textFill>
        </w:rPr>
        <w:t>7</w:t>
      </w:r>
      <w:r>
        <w:rPr>
          <w:rFonts w:hint="default" w:ascii="Times New Roman" w:hAnsi="Times New Roman" w:eastAsia="楷体_GB2312" w:cs="Times New Roman"/>
          <w:color w:val="000000" w:themeColor="text1"/>
          <w:sz w:val="32"/>
          <w:szCs w:val="32"/>
          <w14:textFill>
            <w14:solidFill>
              <w14:schemeClr w14:val="tx1"/>
            </w14:solidFill>
          </w14:textFill>
        </w:rPr>
        <w:t>月</w:t>
      </w:r>
      <w:r>
        <w:rPr>
          <w:rFonts w:hint="default" w:ascii="Times New Roman" w:hAnsi="Times New Roman" w:eastAsia="楷体_GB2312" w:cs="Times New Roman"/>
          <w:color w:val="000000" w:themeColor="text1"/>
          <w:sz w:val="32"/>
          <w:szCs w:val="32"/>
          <w:lang w:val="en-US" w:eastAsia="zh-CN"/>
          <w14:textFill>
            <w14:solidFill>
              <w14:schemeClr w14:val="tx1"/>
            </w14:solidFill>
          </w14:textFill>
        </w:rPr>
        <w:t>24</w:t>
      </w:r>
      <w:r>
        <w:rPr>
          <w:rFonts w:hint="eastAsia" w:ascii="楷体_GB2312" w:hAnsi="楷体_GB2312" w:eastAsia="楷体_GB2312" w:cs="楷体_GB2312"/>
          <w:color w:val="000000" w:themeColor="text1"/>
          <w:sz w:val="32"/>
          <w:szCs w:val="32"/>
          <w14:textFill>
            <w14:solidFill>
              <w14:schemeClr w14:val="tx1"/>
            </w14:solidFill>
          </w14:textFill>
        </w:rPr>
        <w:t>日福建省第十</w:t>
      </w:r>
      <w:r>
        <w:rPr>
          <w:rFonts w:hint="eastAsia" w:ascii="楷体_GB2312" w:hAnsi="楷体_GB2312" w:eastAsia="楷体_GB2312" w:cs="楷体_GB2312"/>
          <w:color w:val="000000" w:themeColor="text1"/>
          <w:sz w:val="32"/>
          <w:szCs w:val="32"/>
          <w:lang w:eastAsia="zh-CN"/>
          <w14:textFill>
            <w14:solidFill>
              <w14:schemeClr w14:val="tx1"/>
            </w14:solidFill>
          </w14:textFill>
        </w:rPr>
        <w:t>三</w:t>
      </w:r>
      <w:r>
        <w:rPr>
          <w:rFonts w:hint="eastAsia" w:ascii="楷体_GB2312" w:hAnsi="楷体_GB2312" w:eastAsia="楷体_GB2312" w:cs="楷体_GB2312"/>
          <w:color w:val="000000" w:themeColor="text1"/>
          <w:sz w:val="32"/>
          <w:szCs w:val="32"/>
          <w14:textFill>
            <w14:solidFill>
              <w14:schemeClr w14:val="tx1"/>
            </w14:solidFill>
          </w14:textFill>
        </w:rPr>
        <w:t>届人民代表大会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color w:val="000000" w:themeColor="text1"/>
          <w:sz w:val="32"/>
          <w:szCs w:val="32"/>
          <w:lang w:eastAsia="zh-CN"/>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常务委员会第</w:t>
      </w:r>
      <w:r>
        <w:rPr>
          <w:rFonts w:hint="eastAsia" w:ascii="楷体_GB2312" w:hAnsi="楷体_GB2312" w:eastAsia="楷体_GB2312" w:cs="楷体_GB2312"/>
          <w:color w:val="000000" w:themeColor="text1"/>
          <w:sz w:val="32"/>
          <w:szCs w:val="32"/>
          <w:lang w:eastAsia="zh-CN"/>
          <w14:textFill>
            <w14:solidFill>
              <w14:schemeClr w14:val="tx1"/>
            </w14:solidFill>
          </w14:textFill>
        </w:rPr>
        <w:t>二十一</w:t>
      </w:r>
      <w:r>
        <w:rPr>
          <w:rFonts w:hint="eastAsia" w:ascii="楷体_GB2312" w:hAnsi="楷体_GB2312" w:eastAsia="楷体_GB2312" w:cs="楷体_GB2312"/>
          <w:color w:val="000000" w:themeColor="text1"/>
          <w:sz w:val="32"/>
          <w:szCs w:val="32"/>
          <w14:textFill>
            <w14:solidFill>
              <w14:schemeClr w14:val="tx1"/>
            </w14:solidFill>
          </w14:textFill>
        </w:rPr>
        <w:t>次会议通过）</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default" w:ascii="Times New Roman" w:hAnsi="Times New Roman" w:eastAsia="楷体_GB2312" w:cs="Times New Roman"/>
          <w:b w:val="0"/>
          <w:i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after="157" w:afterLines="50" w:line="560" w:lineRule="exact"/>
        <w:jc w:val="center"/>
        <w:textAlignment w:val="auto"/>
        <w:rPr>
          <w:rFonts w:hint="default" w:ascii="Times New Roman" w:hAnsi="Times New Roman" w:eastAsia="楷体_GB2312" w:cs="Times New Roman"/>
          <w:b w:val="0"/>
          <w:i w:val="0"/>
          <w:color w:val="000000" w:themeColor="text1"/>
          <w:sz w:val="32"/>
          <w:szCs w:val="32"/>
          <w14:textFill>
            <w14:solidFill>
              <w14:schemeClr w14:val="tx1"/>
            </w14:solidFill>
          </w14:textFill>
        </w:rPr>
      </w:pPr>
      <w:r>
        <w:rPr>
          <w:rFonts w:hint="default" w:ascii="Times New Roman" w:hAnsi="Times New Roman" w:eastAsia="楷体_GB2312" w:cs="Times New Roman"/>
          <w:b w:val="0"/>
          <w:i w:val="0"/>
          <w:color w:val="000000" w:themeColor="text1"/>
          <w:sz w:val="32"/>
          <w:szCs w:val="32"/>
          <w14:textFill>
            <w14:solidFill>
              <w14:schemeClr w14:val="tx1"/>
            </w14:solidFill>
          </w14:textFill>
        </w:rPr>
        <w:t>目</w:t>
      </w:r>
      <w:r>
        <w:rPr>
          <w:rFonts w:hint="eastAsia" w:ascii="Times New Roman" w:hAnsi="Times New Roman" w:eastAsia="楷体_GB2312" w:cs="Times New Roman"/>
          <w:b w:val="0"/>
          <w:i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楷体_GB2312" w:cs="Times New Roman"/>
          <w:b w:val="0"/>
          <w:i w:val="0"/>
          <w:color w:val="000000" w:themeColor="text1"/>
          <w:sz w:val="32"/>
          <w:szCs w:val="32"/>
          <w14:textFill>
            <w14:solidFill>
              <w14:schemeClr w14:val="tx1"/>
            </w14:solidFill>
          </w14:textFill>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jc w:val="left"/>
        <w:textAlignment w:val="auto"/>
        <w:rPr>
          <w:rFonts w:hint="eastAsia" w:ascii="宋体" w:hAnsi="宋体" w:eastAsia="宋体" w:cs="宋体"/>
          <w:color w:val="000000" w:themeColor="text1"/>
          <w:sz w:val="32"/>
          <w:szCs w:val="32"/>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 xml:space="preserve"> </w:t>
      </w:r>
      <w:r>
        <w:rPr>
          <w:rFonts w:hint="eastAsia" w:ascii="宋体" w:hAnsi="宋体" w:eastAsia="宋体" w:cs="宋体"/>
          <w:color w:val="000000" w:themeColor="text1"/>
          <w:sz w:val="32"/>
          <w:szCs w:val="32"/>
          <w14:textFill>
            <w14:solidFill>
              <w14:schemeClr w14:val="tx1"/>
            </w14:solidFill>
          </w14:textFill>
        </w:rPr>
        <w:t>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jc w:val="left"/>
        <w:textAlignment w:val="auto"/>
        <w:rPr>
          <w:rFonts w:hint="eastAsia" w:ascii="宋体" w:hAnsi="宋体" w:eastAsia="宋体" w:cs="宋体"/>
          <w:color w:val="000000" w:themeColor="text1"/>
          <w:sz w:val="32"/>
          <w:szCs w:val="32"/>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 xml:space="preserve"> </w:t>
      </w:r>
      <w:r>
        <w:rPr>
          <w:rFonts w:hint="eastAsia" w:ascii="宋体" w:hAnsi="宋体" w:eastAsia="宋体" w:cs="宋体"/>
          <w:color w:val="000000" w:themeColor="text1"/>
          <w:sz w:val="32"/>
          <w:szCs w:val="32"/>
          <w14:textFill>
            <w14:solidFill>
              <w14:schemeClr w14:val="tx1"/>
            </w14:solidFill>
          </w14:textFill>
        </w:rPr>
        <w:t>备案</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jc w:val="left"/>
        <w:textAlignment w:val="auto"/>
        <w:rPr>
          <w:rFonts w:hint="eastAsia" w:ascii="宋体" w:hAnsi="宋体" w:eastAsia="宋体" w:cs="宋体"/>
          <w:color w:val="000000" w:themeColor="text1"/>
          <w:sz w:val="32"/>
          <w:szCs w:val="32"/>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 xml:space="preserve"> </w:t>
      </w:r>
      <w:r>
        <w:rPr>
          <w:rFonts w:hint="eastAsia" w:ascii="宋体" w:hAnsi="宋体" w:eastAsia="宋体" w:cs="宋体"/>
          <w:color w:val="000000" w:themeColor="text1"/>
          <w:sz w:val="32"/>
          <w:szCs w:val="32"/>
          <w14:textFill>
            <w14:solidFill>
              <w14:schemeClr w14:val="tx1"/>
            </w14:solidFill>
          </w14:textFill>
        </w:rPr>
        <w:t>审查</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jc w:val="left"/>
        <w:textAlignment w:val="auto"/>
        <w:rPr>
          <w:rFonts w:hint="eastAsia" w:ascii="宋体" w:hAnsi="宋体" w:eastAsia="宋体" w:cs="宋体"/>
          <w:color w:val="000000" w:themeColor="text1"/>
          <w:sz w:val="32"/>
          <w:szCs w:val="32"/>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 xml:space="preserve"> </w:t>
      </w:r>
      <w:r>
        <w:rPr>
          <w:rFonts w:hint="eastAsia" w:ascii="宋体" w:hAnsi="宋体" w:eastAsia="宋体" w:cs="宋体"/>
          <w:color w:val="000000" w:themeColor="text1"/>
          <w:sz w:val="32"/>
          <w:szCs w:val="32"/>
          <w14:textFill>
            <w14:solidFill>
              <w14:schemeClr w14:val="tx1"/>
            </w14:solidFill>
          </w14:textFill>
        </w:rPr>
        <w:t>处理</w:t>
      </w:r>
    </w:p>
    <w:p>
      <w:pPr>
        <w:keepNext w:val="0"/>
        <w:keepLines w:val="0"/>
        <w:pageBreakBefore w:val="0"/>
        <w:widowControl w:val="0"/>
        <w:numPr>
          <w:ilvl w:val="0"/>
          <w:numId w:val="1"/>
        </w:numPr>
        <w:tabs>
          <w:tab w:val="right" w:pos="8204"/>
        </w:tabs>
        <w:kinsoku/>
        <w:wordWrap/>
        <w:overflowPunct/>
        <w:topLinePunct w:val="0"/>
        <w:autoSpaceDE/>
        <w:autoSpaceDN/>
        <w:bidi w:val="0"/>
        <w:adjustRightInd/>
        <w:snapToGrid/>
        <w:spacing w:line="560" w:lineRule="exact"/>
        <w:ind w:firstLine="640" w:firstLineChars="200"/>
        <w:jc w:val="left"/>
        <w:textAlignment w:val="auto"/>
        <w:rPr>
          <w:rFonts w:hint="eastAsia" w:ascii="宋体" w:hAnsi="宋体" w:eastAsia="宋体" w:cs="宋体"/>
          <w:color w:val="000000" w:themeColor="text1"/>
          <w:sz w:val="32"/>
          <w:szCs w:val="32"/>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 xml:space="preserve"> </w:t>
      </w:r>
      <w:r>
        <w:rPr>
          <w:rFonts w:hint="eastAsia" w:ascii="宋体" w:hAnsi="宋体" w:eastAsia="宋体" w:cs="宋体"/>
          <w:color w:val="000000" w:themeColor="text1"/>
          <w:sz w:val="32"/>
          <w:szCs w:val="32"/>
          <w14:textFill>
            <w14:solidFill>
              <w14:schemeClr w14:val="tx1"/>
            </w14:solidFill>
          </w14:textFill>
        </w:rPr>
        <w:t>监督与保障</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jc w:val="left"/>
        <w:textAlignment w:val="auto"/>
        <w:rPr>
          <w:rFonts w:hint="eastAsia" w:ascii="宋体" w:hAnsi="宋体" w:eastAsia="宋体" w:cs="宋体"/>
          <w:color w:val="000000" w:themeColor="text1"/>
          <w:sz w:val="32"/>
          <w:szCs w:val="32"/>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 xml:space="preserve"> </w:t>
      </w:r>
      <w:r>
        <w:rPr>
          <w:rFonts w:hint="eastAsia" w:ascii="宋体" w:hAnsi="宋体" w:eastAsia="宋体" w:cs="宋体"/>
          <w:color w:val="000000" w:themeColor="text1"/>
          <w:sz w:val="32"/>
          <w:szCs w:val="32"/>
          <w14:textFill>
            <w14:solidFill>
              <w14:schemeClr w14:val="tx1"/>
            </w14:solidFill>
          </w14:textFill>
        </w:rPr>
        <w:t>附则</w:t>
      </w:r>
    </w:p>
    <w:p>
      <w:pPr>
        <w:keepNext w:val="0"/>
        <w:keepLines w:val="0"/>
        <w:pageBreakBefore w:val="0"/>
        <w:widowControl w:val="0"/>
        <w:kinsoku/>
        <w:wordWrap/>
        <w:overflowPunct/>
        <w:topLinePunct w:val="0"/>
        <w:autoSpaceDE/>
        <w:autoSpaceDN/>
        <w:bidi w:val="0"/>
        <w:adjustRightInd/>
        <w:snapToGrid/>
        <w:spacing w:line="560" w:lineRule="exact"/>
        <w:ind w:left="640" w:leftChars="200"/>
        <w:jc w:val="left"/>
        <w:textAlignment w:val="auto"/>
        <w:rPr>
          <w:rFonts w:hint="default" w:ascii="Times New Roman" w:hAnsi="Times New Roman" w:eastAsia="楷体_GB2312" w:cs="Times New Roman"/>
          <w:b w:val="0"/>
          <w:i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after="313" w:afterLines="100" w:line="560" w:lineRule="exact"/>
        <w:ind w:left="0" w:leftChars="0" w:right="0" w:rightChars="0"/>
        <w:jc w:val="center"/>
        <w:textAlignment w:val="auto"/>
        <w:outlineLvl w:val="9"/>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第一章  总</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14:textFill>
            <w14:solidFill>
              <w14:schemeClr w14:val="tx1"/>
            </w14:solidFill>
          </w14:textFill>
        </w:rPr>
        <w:t>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pacing w:val="-6"/>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 xml:space="preserve">第一条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pacing w:val="-6"/>
          <w:sz w:val="32"/>
          <w:szCs w:val="32"/>
          <w14:textFill>
            <w14:solidFill>
              <w14:schemeClr w14:val="tx1"/>
            </w14:solidFill>
          </w14:textFill>
        </w:rPr>
        <w:t>为了加强规范性文件备案审查工</w:t>
      </w:r>
      <w:r>
        <w:rPr>
          <w:rFonts w:hint="default" w:ascii="Times New Roman" w:hAnsi="Times New Roman" w:eastAsia="仿宋_GB2312" w:cs="Times New Roman"/>
          <w:color w:val="000000" w:themeColor="text1"/>
          <w:spacing w:val="-6"/>
          <w:sz w:val="32"/>
          <w:szCs w:val="32"/>
          <w:lang w:eastAsia="zh-CN"/>
          <w14:textFill>
            <w14:solidFill>
              <w14:schemeClr w14:val="tx1"/>
            </w14:solidFill>
          </w14:textFill>
        </w:rPr>
        <w:t>作，保障宪法法律实施，保护</w:t>
      </w:r>
      <w:r>
        <w:rPr>
          <w:rFonts w:hint="eastAsia" w:ascii="Times New Roman" w:hAnsi="Times New Roman" w:eastAsia="仿宋_GB2312" w:cs="Times New Roman"/>
          <w:color w:val="000000" w:themeColor="text1"/>
          <w:spacing w:val="-6"/>
          <w:sz w:val="32"/>
          <w:szCs w:val="32"/>
          <w:lang w:eastAsia="zh-CN"/>
          <w14:textFill>
            <w14:solidFill>
              <w14:schemeClr w14:val="tx1"/>
            </w14:solidFill>
          </w14:textFill>
        </w:rPr>
        <w:t>自然人</w:t>
      </w:r>
      <w:r>
        <w:rPr>
          <w:rFonts w:hint="default" w:ascii="Times New Roman" w:hAnsi="Times New Roman" w:eastAsia="仿宋_GB2312" w:cs="Times New Roman"/>
          <w:color w:val="000000" w:themeColor="text1"/>
          <w:spacing w:val="-6"/>
          <w:sz w:val="32"/>
          <w:szCs w:val="32"/>
          <w:lang w:eastAsia="zh-CN"/>
          <w14:textFill>
            <w14:solidFill>
              <w14:schemeClr w14:val="tx1"/>
            </w14:solidFill>
          </w14:textFill>
        </w:rPr>
        <w:t>、法人和</w:t>
      </w:r>
      <w:r>
        <w:rPr>
          <w:rFonts w:hint="eastAsia" w:ascii="Times New Roman" w:hAnsi="Times New Roman" w:eastAsia="仿宋_GB2312" w:cs="Times New Roman"/>
          <w:color w:val="000000" w:themeColor="text1"/>
          <w:spacing w:val="-6"/>
          <w:sz w:val="32"/>
          <w:szCs w:val="32"/>
          <w:lang w:eastAsia="zh-CN"/>
          <w14:textFill>
            <w14:solidFill>
              <w14:schemeClr w14:val="tx1"/>
            </w14:solidFill>
          </w14:textFill>
        </w:rPr>
        <w:t>非法人</w:t>
      </w:r>
      <w:r>
        <w:rPr>
          <w:rFonts w:hint="default" w:ascii="Times New Roman" w:hAnsi="Times New Roman" w:eastAsia="仿宋_GB2312" w:cs="Times New Roman"/>
          <w:color w:val="000000" w:themeColor="text1"/>
          <w:spacing w:val="-6"/>
          <w:sz w:val="32"/>
          <w:szCs w:val="32"/>
          <w:lang w:eastAsia="zh-CN"/>
          <w14:textFill>
            <w14:solidFill>
              <w14:schemeClr w14:val="tx1"/>
            </w14:solidFill>
          </w14:textFill>
        </w:rPr>
        <w:t>组织的合法权益，维护国家法制统一，</w:t>
      </w:r>
      <w:r>
        <w:rPr>
          <w:rFonts w:hint="default" w:ascii="Times New Roman" w:hAnsi="Times New Roman" w:eastAsia="仿宋_GB2312" w:cs="Times New Roman"/>
          <w:color w:val="000000" w:themeColor="text1"/>
          <w:spacing w:val="-6"/>
          <w:sz w:val="32"/>
          <w:szCs w:val="32"/>
          <w14:textFill>
            <w14:solidFill>
              <w14:schemeClr w14:val="tx1"/>
            </w14:solidFill>
          </w14:textFill>
        </w:rPr>
        <w:t>根据</w:t>
      </w:r>
      <w:r>
        <w:rPr>
          <w:rFonts w:hint="default" w:ascii="Times New Roman" w:hAnsi="Times New Roman" w:eastAsia="仿宋_GB2312" w:cs="Times New Roman"/>
          <w:color w:val="000000" w:themeColor="text1"/>
          <w:spacing w:val="-6"/>
          <w:sz w:val="32"/>
          <w:szCs w:val="32"/>
          <w:lang w:eastAsia="zh-CN"/>
          <w14:textFill>
            <w14:solidFill>
              <w14:schemeClr w14:val="tx1"/>
            </w14:solidFill>
          </w14:textFill>
        </w:rPr>
        <w:t>《中华人民共和国</w:t>
      </w:r>
      <w:r>
        <w:rPr>
          <w:rFonts w:hint="default" w:ascii="Times New Roman" w:hAnsi="Times New Roman" w:eastAsia="仿宋_GB2312" w:cs="Times New Roman"/>
          <w:color w:val="000000" w:themeColor="text1"/>
          <w:spacing w:val="-6"/>
          <w:sz w:val="32"/>
          <w:szCs w:val="32"/>
          <w14:textFill>
            <w14:solidFill>
              <w14:schemeClr w14:val="tx1"/>
            </w14:solidFill>
          </w14:textFill>
        </w:rPr>
        <w:t>立法法</w:t>
      </w:r>
      <w:r>
        <w:rPr>
          <w:rFonts w:hint="default" w:ascii="Times New Roman" w:hAnsi="Times New Roman" w:eastAsia="仿宋_GB2312" w:cs="Times New Roman"/>
          <w:color w:val="000000" w:themeColor="text1"/>
          <w:spacing w:val="-6"/>
          <w:sz w:val="32"/>
          <w:szCs w:val="32"/>
          <w:lang w:eastAsia="zh-CN"/>
          <w14:textFill>
            <w14:solidFill>
              <w14:schemeClr w14:val="tx1"/>
            </w14:solidFill>
          </w14:textFill>
        </w:rPr>
        <w:t>》《中华人民共和国各级人民代表大会常务委员会</w:t>
      </w:r>
      <w:r>
        <w:rPr>
          <w:rFonts w:hint="default" w:ascii="Times New Roman" w:hAnsi="Times New Roman" w:eastAsia="仿宋_GB2312" w:cs="Times New Roman"/>
          <w:color w:val="000000" w:themeColor="text1"/>
          <w:spacing w:val="-6"/>
          <w:sz w:val="32"/>
          <w:szCs w:val="32"/>
          <w14:textFill>
            <w14:solidFill>
              <w14:schemeClr w14:val="tx1"/>
            </w14:solidFill>
          </w14:textFill>
        </w:rPr>
        <w:t>监督法</w:t>
      </w:r>
      <w:r>
        <w:rPr>
          <w:rFonts w:hint="default" w:ascii="Times New Roman" w:hAnsi="Times New Roman" w:eastAsia="仿宋_GB2312" w:cs="Times New Roman"/>
          <w:color w:val="000000" w:themeColor="text1"/>
          <w:spacing w:val="-6"/>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pacing w:val="-6"/>
          <w:sz w:val="32"/>
          <w:szCs w:val="32"/>
          <w14:textFill>
            <w14:solidFill>
              <w14:schemeClr w14:val="tx1"/>
            </w14:solidFill>
          </w14:textFill>
        </w:rPr>
        <w:t>等法律，结合本省实际，制定本条例。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pacing w:val="0"/>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第二条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pacing w:val="0"/>
          <w:sz w:val="32"/>
          <w:szCs w:val="32"/>
          <w14:textFill>
            <w14:solidFill>
              <w14:schemeClr w14:val="tx1"/>
            </w14:solidFill>
          </w14:textFill>
        </w:rPr>
        <w:t>本</w:t>
      </w:r>
      <w:r>
        <w:rPr>
          <w:rFonts w:hint="default" w:ascii="Times New Roman" w:hAnsi="Times New Roman" w:eastAsia="仿宋_GB2312" w:cs="Times New Roman"/>
          <w:color w:val="000000" w:themeColor="text1"/>
          <w:spacing w:val="0"/>
          <w:sz w:val="32"/>
          <w:szCs w:val="32"/>
          <w:lang w:eastAsia="zh-CN"/>
          <w14:textFill>
            <w14:solidFill>
              <w14:schemeClr w14:val="tx1"/>
            </w14:solidFill>
          </w14:textFill>
        </w:rPr>
        <w:t>省各级人民代表大会常务委员会（以下简称人大常委会）对规</w:t>
      </w:r>
      <w:r>
        <w:rPr>
          <w:rFonts w:hint="default" w:ascii="Times New Roman" w:hAnsi="Times New Roman" w:eastAsia="仿宋_GB2312" w:cs="Times New Roman"/>
          <w:color w:val="000000" w:themeColor="text1"/>
          <w:spacing w:val="0"/>
          <w:sz w:val="32"/>
          <w:szCs w:val="32"/>
          <w14:textFill>
            <w14:solidFill>
              <w14:schemeClr w14:val="tx1"/>
            </w14:solidFill>
          </w14:textFill>
        </w:rPr>
        <w:t>范性文件的备案审查适用本条例。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第三条</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本条例所称规范性文件，是指</w:t>
      </w:r>
      <w:r>
        <w:rPr>
          <w:rFonts w:hint="default" w:ascii="Times New Roman" w:hAnsi="Times New Roman" w:eastAsia="仿宋_GB2312" w:cs="Times New Roman"/>
          <w:color w:val="000000" w:themeColor="text1"/>
          <w:spacing w:val="0"/>
          <w:sz w:val="32"/>
          <w:szCs w:val="32"/>
          <w:lang w:eastAsia="zh-CN"/>
          <w14:textFill>
            <w14:solidFill>
              <w14:schemeClr w14:val="tx1"/>
            </w14:solidFill>
          </w14:textFill>
        </w:rPr>
        <w:t>在本行政区域内有关国家机关制定的涉及自然人、法人和</w:t>
      </w:r>
      <w:r>
        <w:rPr>
          <w:rFonts w:hint="eastAsia" w:ascii="Times New Roman" w:hAnsi="Times New Roman" w:eastAsia="仿宋_GB2312" w:cs="Times New Roman"/>
          <w:color w:val="000000" w:themeColor="text1"/>
          <w:spacing w:val="0"/>
          <w:sz w:val="32"/>
          <w:szCs w:val="32"/>
          <w:lang w:eastAsia="zh-CN"/>
          <w14:textFill>
            <w14:solidFill>
              <w14:schemeClr w14:val="tx1"/>
            </w14:solidFill>
          </w14:textFill>
        </w:rPr>
        <w:t>非法人</w:t>
      </w:r>
      <w:r>
        <w:rPr>
          <w:rFonts w:hint="default" w:ascii="Times New Roman" w:hAnsi="Times New Roman" w:eastAsia="仿宋_GB2312" w:cs="Times New Roman"/>
          <w:color w:val="000000" w:themeColor="text1"/>
          <w:spacing w:val="0"/>
          <w:sz w:val="32"/>
          <w:szCs w:val="32"/>
          <w:lang w:eastAsia="zh-CN"/>
          <w14:textFill>
            <w14:solidFill>
              <w14:schemeClr w14:val="tx1"/>
            </w14:solidFill>
          </w14:textFill>
        </w:rPr>
        <w:t>组织的权利</w:t>
      </w:r>
      <w:r>
        <w:rPr>
          <w:rFonts w:hint="eastAsia" w:ascii="Times New Roman" w:hAnsi="Times New Roman" w:eastAsia="仿宋_GB2312" w:cs="Times New Roman"/>
          <w:color w:val="000000" w:themeColor="text1"/>
          <w:spacing w:val="0"/>
          <w:sz w:val="32"/>
          <w:szCs w:val="32"/>
          <w:lang w:eastAsia="zh-CN"/>
          <w14:textFill>
            <w14:solidFill>
              <w14:schemeClr w14:val="tx1"/>
            </w14:solidFill>
          </w14:textFill>
        </w:rPr>
        <w:t>与</w:t>
      </w:r>
      <w:r>
        <w:rPr>
          <w:rFonts w:hint="default" w:ascii="Times New Roman" w:hAnsi="Times New Roman" w:eastAsia="仿宋_GB2312" w:cs="Times New Roman"/>
          <w:color w:val="000000" w:themeColor="text1"/>
          <w:spacing w:val="0"/>
          <w:sz w:val="32"/>
          <w:szCs w:val="32"/>
          <w:lang w:eastAsia="zh-CN"/>
          <w14:textFill>
            <w14:solidFill>
              <w14:schemeClr w14:val="tx1"/>
            </w14:solidFill>
          </w14:textFill>
        </w:rPr>
        <w:t>义务，具有普遍约束力并在一定时期内可以反复适</w:t>
      </w:r>
      <w:r>
        <w:rPr>
          <w:rFonts w:hint="default" w:ascii="Times New Roman" w:hAnsi="Times New Roman" w:eastAsia="仿宋_GB2312" w:cs="Times New Roman"/>
          <w:color w:val="000000" w:themeColor="text1"/>
          <w:sz w:val="32"/>
          <w:szCs w:val="32"/>
          <w14:textFill>
            <w14:solidFill>
              <w14:schemeClr w14:val="tx1"/>
            </w14:solidFill>
          </w14:textFill>
        </w:rPr>
        <w:t>用的文件。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第四条</w:t>
      </w:r>
      <w:r>
        <w:rPr>
          <w:rFonts w:hint="default" w:ascii="Times New Roman" w:hAnsi="Times New Roman" w:eastAsia="黑体" w:cs="Times New Roman"/>
          <w:b/>
          <w:bCs/>
          <w:color w:val="000000" w:themeColor="text1"/>
          <w:sz w:val="32"/>
          <w:szCs w:val="32"/>
          <w14:textFill>
            <w14:solidFill>
              <w14:schemeClr w14:val="tx1"/>
            </w14:solidFill>
          </w14:textFill>
        </w:rPr>
        <w:t xml:space="preserve"> </w:t>
      </w:r>
      <w:r>
        <w:rPr>
          <w:rFonts w:hint="eastAsia" w:ascii="Times New Roman" w:hAnsi="Times New Roman" w:eastAsia="黑体" w:cs="Times New Roman"/>
          <w:b/>
          <w:bCs/>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县级以上地方各级人大常委会按照有件必备、有备必审、有错必纠的原则，依照法定权限和程序开展规范性文件备案审查工作。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县级以上地方各级人大常委会应当加强备案审查制度和能力建设，建立备案审查工作统筹协调机制，促进备案审查工作科学化、规范化</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、信息化</w:t>
      </w:r>
      <w:r>
        <w:rPr>
          <w:rFonts w:hint="default" w:ascii="Times New Roman" w:hAnsi="Times New Roman" w:eastAsia="仿宋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上级人大常委会应当加强对下级人大常委会备案审查工作的指导。</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 xml:space="preserve">第五条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县级以上</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地方</w:t>
      </w:r>
      <w:r>
        <w:rPr>
          <w:rFonts w:hint="default" w:ascii="Times New Roman" w:hAnsi="Times New Roman" w:eastAsia="仿宋_GB2312" w:cs="Times New Roman"/>
          <w:color w:val="000000" w:themeColor="text1"/>
          <w:sz w:val="32"/>
          <w:szCs w:val="32"/>
          <w14:textFill>
            <w14:solidFill>
              <w14:schemeClr w14:val="tx1"/>
            </w14:solidFill>
          </w14:textFill>
        </w:rPr>
        <w:t>人大专门委员会（以下简称专门委员会</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、常委会工作机构</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，在常委会的领导下，</w:t>
      </w:r>
      <w:r>
        <w:rPr>
          <w:rFonts w:hint="default" w:ascii="Times New Roman" w:hAnsi="Times New Roman" w:eastAsia="仿宋_GB2312" w:cs="Times New Roman"/>
          <w:color w:val="000000" w:themeColor="text1"/>
          <w:sz w:val="32"/>
          <w:szCs w:val="32"/>
          <w14:textFill>
            <w14:solidFill>
              <w14:schemeClr w14:val="tx1"/>
            </w14:solidFill>
          </w14:textFill>
        </w:rPr>
        <w:t>按照职责分工</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具体承担相</w:t>
      </w:r>
      <w:r>
        <w:rPr>
          <w:rFonts w:hint="default" w:ascii="Times New Roman" w:hAnsi="Times New Roman" w:eastAsia="仿宋_GB2312" w:cs="Times New Roman"/>
          <w:color w:val="000000" w:themeColor="text1"/>
          <w:sz w:val="32"/>
          <w:szCs w:val="32"/>
          <w14:textFill>
            <w14:solidFill>
              <w14:schemeClr w14:val="tx1"/>
            </w14:solidFill>
          </w14:textFill>
        </w:rPr>
        <w:t>关规范性文件的审查工作。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县级以上地方人大常委会指定的工作机构（以下简称常委会指定的工作机构）负责</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规范性文件备案审查的组织协调以及</w:t>
      </w:r>
      <w:r>
        <w:rPr>
          <w:rFonts w:hint="default" w:ascii="Times New Roman" w:hAnsi="Times New Roman" w:eastAsia="仿宋_GB2312" w:cs="Times New Roman"/>
          <w:color w:val="000000" w:themeColor="text1"/>
          <w:sz w:val="32"/>
          <w:szCs w:val="32"/>
          <w14:textFill>
            <w14:solidFill>
              <w14:schemeClr w14:val="tx1"/>
            </w14:solidFill>
          </w14:textFill>
        </w:rPr>
        <w:t>报送备案的规范性文件接收、登记、分送和存档等日常工作。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jc w:val="both"/>
        <w:textAlignment w:val="auto"/>
        <w:outlineLvl w:val="9"/>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 xml:space="preserve">第六条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常委会指定的工作机构应当加强与同级人民政府、监察委员会、人民法院、人民检察院有关工作机构的协调联系，建立健全备案审查衔接联动工作机制，</w:t>
      </w:r>
      <w:r>
        <w:rPr>
          <w:rFonts w:hint="default" w:ascii="Times New Roman" w:hAnsi="Times New Roman" w:eastAsia="仿宋_GB2312" w:cs="Times New Roman"/>
          <w:color w:val="000000" w:themeColor="text1"/>
          <w:spacing w:val="-6"/>
          <w:sz w:val="32"/>
          <w:szCs w:val="32"/>
          <w14:textFill>
            <w14:solidFill>
              <w14:schemeClr w14:val="tx1"/>
            </w14:solidFill>
          </w14:textFill>
        </w:rPr>
        <w:t>加强信息交流和工作协作。</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leftChars="0" w:right="0" w:rightChars="0"/>
        <w:jc w:val="center"/>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第二章  备</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14:textFill>
            <w14:solidFill>
              <w14:schemeClr w14:val="tx1"/>
            </w14:solidFill>
          </w14:textFill>
        </w:rPr>
        <w:t>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 xml:space="preserve">第七条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下列规范性文件，应当报送本级人大常委会备案：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（一）省人民政府、设区的市人民政府制定的规章；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（二）县级以上地方各级人民政府</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制定</w:t>
      </w:r>
      <w:r>
        <w:rPr>
          <w:rFonts w:hint="default" w:ascii="Times New Roman" w:hAnsi="Times New Roman" w:eastAsia="仿宋_GB2312" w:cs="Times New Roman"/>
          <w:color w:val="000000" w:themeColor="text1"/>
          <w:sz w:val="32"/>
          <w:szCs w:val="32"/>
          <w14:textFill>
            <w14:solidFill>
              <w14:schemeClr w14:val="tx1"/>
            </w14:solidFill>
          </w14:textFill>
        </w:rPr>
        <w:t>以及经</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其</w:t>
      </w:r>
      <w:r>
        <w:rPr>
          <w:rFonts w:hint="default" w:ascii="Times New Roman" w:hAnsi="Times New Roman" w:eastAsia="仿宋_GB2312" w:cs="Times New Roman"/>
          <w:color w:val="000000" w:themeColor="text1"/>
          <w:sz w:val="32"/>
          <w:szCs w:val="32"/>
          <w14:textFill>
            <w14:solidFill>
              <w14:schemeClr w14:val="tx1"/>
            </w14:solidFill>
          </w14:textFill>
        </w:rPr>
        <w:t>批准以政府组成部门、办事机构、直属机构名义</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制定</w:t>
      </w:r>
      <w:r>
        <w:rPr>
          <w:rFonts w:hint="default" w:ascii="Times New Roman" w:hAnsi="Times New Roman" w:eastAsia="仿宋_GB2312" w:cs="Times New Roman"/>
          <w:color w:val="000000" w:themeColor="text1"/>
          <w:sz w:val="32"/>
          <w:szCs w:val="32"/>
          <w14:textFill>
            <w14:solidFill>
              <w14:schemeClr w14:val="tx1"/>
            </w14:solidFill>
          </w14:textFill>
        </w:rPr>
        <w:t>的规范性文件；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（三）县级以上地方各级监察委员会制定的规范性文件；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（四）县级以上地方各级人民法院、人民检察院制定的规范性文件；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（五）</w:t>
      </w:r>
      <w:r>
        <w:rPr>
          <w:rFonts w:hint="default" w:ascii="Times New Roman" w:hAnsi="Times New Roman" w:eastAsia="仿宋_GB2312" w:cs="Times New Roman"/>
          <w:color w:val="000000" w:themeColor="text1"/>
          <w:sz w:val="32"/>
          <w:szCs w:val="32"/>
          <w14:textFill>
            <w14:solidFill>
              <w14:schemeClr w14:val="tx1"/>
            </w14:solidFill>
          </w14:textFill>
        </w:rPr>
        <w:t>县级以上地方各级人民政府、监察委员会、人民法院、人民检察院会同有关国家机关制定的规范性文件；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（六）</w:t>
      </w:r>
      <w:r>
        <w:rPr>
          <w:rFonts w:hint="default" w:ascii="Times New Roman" w:hAnsi="Times New Roman" w:eastAsia="仿宋_GB2312" w:cs="Times New Roman"/>
          <w:color w:val="000000" w:themeColor="text1"/>
          <w:sz w:val="32"/>
          <w:szCs w:val="32"/>
          <w14:textFill>
            <w14:solidFill>
              <w14:schemeClr w14:val="tx1"/>
            </w14:solidFill>
          </w14:textFill>
        </w:rPr>
        <w:t>地方性法规授权制定的配套性规定；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（七）</w:t>
      </w:r>
      <w:r>
        <w:rPr>
          <w:rFonts w:hint="default" w:ascii="Times New Roman" w:hAnsi="Times New Roman" w:eastAsia="仿宋_GB2312" w:cs="Times New Roman"/>
          <w:color w:val="000000" w:themeColor="text1"/>
          <w:sz w:val="32"/>
          <w:szCs w:val="32"/>
          <w14:textFill>
            <w14:solidFill>
              <w14:schemeClr w14:val="tx1"/>
            </w14:solidFill>
          </w14:textFill>
        </w:rPr>
        <w:t>依法应当报送备案的其他规范性文件。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pacing w:val="-6"/>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 xml:space="preserve">第八条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pacing w:val="-6"/>
          <w:sz w:val="32"/>
          <w:szCs w:val="32"/>
          <w14:textFill>
            <w14:solidFill>
              <w14:schemeClr w14:val="tx1"/>
            </w14:solidFill>
          </w14:textFill>
        </w:rPr>
        <w:t>下列规范性文件，应当报送上一级人大常委会备案：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（一）设区的市、县级人大及其常委会作出的决议、决定等规范性文件；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（二）乡、民族乡、镇人民代表大会作出的决议、决定等规范性文件；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（三）设区的市人民政府制定的规章；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（四）依法应当报送备案的其他规范性文件。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经济特区法规依照</w:t>
      </w:r>
      <w:r>
        <w:rPr>
          <w:rFonts w:hint="default" w:ascii="Times New Roman" w:hAnsi="Times New Roman" w:eastAsia="仿宋_GB2312" w:cs="Times New Roman"/>
          <w:color w:val="000000" w:themeColor="text1"/>
          <w:spacing w:val="-6"/>
          <w:sz w:val="32"/>
          <w:szCs w:val="32"/>
          <w:lang w:eastAsia="zh-CN"/>
          <w14:textFill>
            <w14:solidFill>
              <w14:schemeClr w14:val="tx1"/>
            </w14:solidFill>
          </w14:textFill>
        </w:rPr>
        <w:t>《中华人民共和国</w:t>
      </w:r>
      <w:r>
        <w:rPr>
          <w:rFonts w:hint="default" w:ascii="Times New Roman" w:hAnsi="Times New Roman" w:eastAsia="仿宋_GB2312" w:cs="Times New Roman"/>
          <w:color w:val="000000" w:themeColor="text1"/>
          <w:spacing w:val="-6"/>
          <w:sz w:val="32"/>
          <w:szCs w:val="32"/>
          <w14:textFill>
            <w14:solidFill>
              <w14:schemeClr w14:val="tx1"/>
            </w14:solidFill>
          </w14:textFill>
        </w:rPr>
        <w:t>立法法</w:t>
      </w:r>
      <w:r>
        <w:rPr>
          <w:rFonts w:hint="default" w:ascii="Times New Roman" w:hAnsi="Times New Roman" w:eastAsia="仿宋_GB2312" w:cs="Times New Roman"/>
          <w:color w:val="000000" w:themeColor="text1"/>
          <w:spacing w:val="-6"/>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和全国人大及其常委会有关决定备案。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 xml:space="preserve">第九条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规范性文件应当自公布之日起三十日内报送备案。</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必要时，</w:t>
      </w:r>
      <w:r>
        <w:rPr>
          <w:rFonts w:hint="eastAsia" w:ascii="Times New Roman" w:hAnsi="Times New Roman" w:eastAsia="仿宋_GB2312" w:cs="Times New Roman"/>
          <w:color w:val="000000" w:themeColor="text1"/>
          <w:sz w:val="32"/>
          <w:szCs w:val="32"/>
          <w14:textFill>
            <w14:solidFill>
              <w14:schemeClr w14:val="tx1"/>
            </w14:solidFill>
          </w14:textFill>
        </w:rPr>
        <w:t>常委会指定的工作机构</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可以要求报备机关对指定的规范性文件即时报送备案。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color w:val="000000" w:themeColor="text1"/>
          <w:sz w:val="32"/>
          <w:szCs w:val="32"/>
          <w:lang w:eastAsia="zh-CN"/>
          <w14:textFill>
            <w14:solidFill>
              <w14:schemeClr w14:val="tx1"/>
            </w14:solidFill>
          </w14:textFill>
        </w:rPr>
        <w:t>报送备案的材料应当包括备案报告、规范性文件文本、制定文件的说明、公布情况。</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报送规章备案</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还应当提供立法依据表。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eastAsia="zh-CN"/>
          <w14:textFill>
            <w14:solidFill>
              <w14:schemeClr w14:val="tx1"/>
            </w14:solidFill>
          </w14:textFill>
        </w:rPr>
        <w:t>报送备案应当</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提供</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纸质文件和电子文件。纸质文件应当按照规定的格式、数量报送，电子文件应当通过人大常委会备案审</w:t>
      </w:r>
      <w:r>
        <w:rPr>
          <w:rFonts w:hint="default" w:ascii="Times New Roman" w:hAnsi="Times New Roman" w:eastAsia="仿宋_GB2312" w:cs="Times New Roman"/>
          <w:color w:val="000000" w:themeColor="text1"/>
          <w:sz w:val="32"/>
          <w:szCs w:val="32"/>
          <w14:textFill>
            <w14:solidFill>
              <w14:schemeClr w14:val="tx1"/>
            </w14:solidFill>
          </w14:textFill>
        </w:rPr>
        <w:t>查信息平台报送。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pacing w:val="-6"/>
          <w:sz w:val="32"/>
          <w:szCs w:val="32"/>
          <w14:textFill>
            <w14:solidFill>
              <w14:schemeClr w14:val="tx1"/>
            </w14:solidFill>
          </w14:textFill>
        </w:rPr>
        <w:t>报备机关应当在每年一月底前将上一年度制定、修改、废止的规范性文件目录报送常委会指定的工作机构备查。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十</w:t>
      </w:r>
      <w:r>
        <w:rPr>
          <w:rFonts w:hint="default" w:ascii="Times New Roman" w:hAnsi="Times New Roman" w:eastAsia="黑体" w:cs="Times New Roman"/>
          <w:color w:val="000000" w:themeColor="text1"/>
          <w:sz w:val="32"/>
          <w:szCs w:val="32"/>
          <w14:textFill>
            <w14:solidFill>
              <w14:schemeClr w14:val="tx1"/>
            </w14:solidFill>
          </w14:textFill>
        </w:rPr>
        <w:t xml:space="preserve">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报送备案的规范性文件符合本条例第七条、第八条和第九条规定的，常委会指定的工作机构予以备案登记，并向社会公布备案的规范性文件目录。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报送备案的规范性文件符合本条例第七条、第八条规定但不符合第九条</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第二款、第三款</w:t>
      </w:r>
      <w:r>
        <w:rPr>
          <w:rFonts w:hint="default" w:ascii="Times New Roman" w:hAnsi="Times New Roman" w:eastAsia="仿宋_GB2312" w:cs="Times New Roman"/>
          <w:color w:val="000000" w:themeColor="text1"/>
          <w:sz w:val="32"/>
          <w:szCs w:val="32"/>
          <w14:textFill>
            <w14:solidFill>
              <w14:schemeClr w14:val="tx1"/>
            </w14:solidFill>
          </w14:textFill>
        </w:rPr>
        <w:t>规定的，常委会指定的工作机构通知</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报备</w:t>
      </w:r>
      <w:r>
        <w:rPr>
          <w:rFonts w:hint="default" w:ascii="Times New Roman" w:hAnsi="Times New Roman" w:eastAsia="仿宋_GB2312" w:cs="Times New Roman"/>
          <w:color w:val="000000" w:themeColor="text1"/>
          <w:sz w:val="32"/>
          <w:szCs w:val="32"/>
          <w14:textFill>
            <w14:solidFill>
              <w14:schemeClr w14:val="tx1"/>
            </w14:solidFill>
          </w14:textFill>
        </w:rPr>
        <w:t>机关在十日内补充或者重新报送备案材料；补充或者重新报送备案符合规定的，予以备案登记。</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leftChars="0" w:right="0" w:rightChars="0"/>
        <w:jc w:val="center"/>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第三章  审</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14:textFill>
            <w14:solidFill>
              <w14:schemeClr w14:val="tx1"/>
            </w14:solidFill>
          </w14:textFill>
        </w:rPr>
        <w:t>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pacing w:val="-6"/>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十一</w:t>
      </w:r>
      <w:r>
        <w:rPr>
          <w:rFonts w:hint="default" w:ascii="Times New Roman" w:hAnsi="Times New Roman" w:eastAsia="黑体" w:cs="Times New Roman"/>
          <w:color w:val="000000" w:themeColor="text1"/>
          <w:sz w:val="32"/>
          <w:szCs w:val="32"/>
          <w14:textFill>
            <w14:solidFill>
              <w14:schemeClr w14:val="tx1"/>
            </w14:solidFill>
          </w14:textFill>
        </w:rPr>
        <w:t xml:space="preserve">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pacing w:val="-6"/>
          <w:sz w:val="32"/>
          <w:szCs w:val="32"/>
          <w14:textFill>
            <w14:solidFill>
              <w14:schemeClr w14:val="tx1"/>
            </w14:solidFill>
          </w14:textFill>
        </w:rPr>
        <w:t>县级以上地方各级人大常委会依法审查备案的规范性文件，</w:t>
      </w:r>
      <w:r>
        <w:rPr>
          <w:rFonts w:hint="default" w:ascii="Times New Roman" w:hAnsi="Times New Roman" w:eastAsia="仿宋_GB2312" w:cs="Times New Roman"/>
          <w:color w:val="000000" w:themeColor="text1"/>
          <w:spacing w:val="-6"/>
          <w:sz w:val="32"/>
          <w:szCs w:val="32"/>
          <w:lang w:eastAsia="zh-CN"/>
          <w14:textFill>
            <w14:solidFill>
              <w14:schemeClr w14:val="tx1"/>
            </w14:solidFill>
          </w14:textFill>
        </w:rPr>
        <w:t>研究处理</w:t>
      </w:r>
      <w:r>
        <w:rPr>
          <w:rFonts w:hint="default" w:ascii="Times New Roman" w:hAnsi="Times New Roman" w:eastAsia="仿宋_GB2312" w:cs="Times New Roman"/>
          <w:color w:val="000000" w:themeColor="text1"/>
          <w:spacing w:val="-6"/>
          <w:sz w:val="32"/>
          <w:szCs w:val="32"/>
          <w14:textFill>
            <w14:solidFill>
              <w14:schemeClr w14:val="tx1"/>
            </w14:solidFill>
          </w14:textFill>
        </w:rPr>
        <w:t>有关国家机关、社会团体、企业事业组织或者公民提出的审查要求或者审查建议，根据需要组织专项审查。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十二</w:t>
      </w:r>
      <w:r>
        <w:rPr>
          <w:rFonts w:hint="default" w:ascii="Times New Roman" w:hAnsi="Times New Roman" w:eastAsia="黑体" w:cs="Times New Roman"/>
          <w:color w:val="000000" w:themeColor="text1"/>
          <w:sz w:val="32"/>
          <w:szCs w:val="32"/>
          <w14:textFill>
            <w14:solidFill>
              <w14:schemeClr w14:val="tx1"/>
            </w14:solidFill>
          </w14:textFill>
        </w:rPr>
        <w:t xml:space="preserve">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对规范性文件进行审查研究，发现规范性文件存在下列情形之一的，应当提出意见：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（一）与党中央决策部署不相符或者与国家改革发展方向不一致的；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eastAsia="zh-CN"/>
          <w14:textFill>
            <w14:solidFill>
              <w14:schemeClr w14:val="tx1"/>
            </w14:solidFill>
          </w14:textFill>
        </w:rPr>
        <w:t>（二）</w:t>
      </w:r>
      <w:r>
        <w:rPr>
          <w:rFonts w:hint="default" w:ascii="Times New Roman" w:hAnsi="Times New Roman" w:eastAsia="仿宋_GB2312" w:cs="Times New Roman"/>
          <w:color w:val="000000" w:themeColor="text1"/>
          <w:sz w:val="32"/>
          <w:szCs w:val="32"/>
          <w14:textFill>
            <w14:solidFill>
              <w14:schemeClr w14:val="tx1"/>
            </w14:solidFill>
          </w14:textFill>
        </w:rPr>
        <w:t>超越法定权限，违法设定自然人、法人和</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非法人</w:t>
      </w:r>
      <w:r>
        <w:rPr>
          <w:rFonts w:hint="default" w:ascii="Times New Roman" w:hAnsi="Times New Roman" w:eastAsia="仿宋_GB2312" w:cs="Times New Roman"/>
          <w:color w:val="000000" w:themeColor="text1"/>
          <w:sz w:val="32"/>
          <w:szCs w:val="32"/>
          <w14:textFill>
            <w14:solidFill>
              <w14:schemeClr w14:val="tx1"/>
            </w14:solidFill>
          </w14:textFill>
        </w:rPr>
        <w:t>组织的权利</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与</w:t>
      </w:r>
      <w:r>
        <w:rPr>
          <w:rFonts w:hint="default" w:ascii="Times New Roman" w:hAnsi="Times New Roman" w:eastAsia="仿宋_GB2312" w:cs="Times New Roman"/>
          <w:color w:val="000000" w:themeColor="text1"/>
          <w:sz w:val="32"/>
          <w:szCs w:val="32"/>
          <w14:textFill>
            <w14:solidFill>
              <w14:schemeClr w14:val="tx1"/>
            </w14:solidFill>
          </w14:textFill>
        </w:rPr>
        <w:t>义务，或者违法设定国家机关的权力与责任</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的</w:t>
      </w:r>
      <w:r>
        <w:rPr>
          <w:rFonts w:hint="default" w:ascii="Times New Roman" w:hAnsi="Times New Roman" w:eastAsia="仿宋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eastAsia="zh-CN"/>
          <w14:textFill>
            <w14:solidFill>
              <w14:schemeClr w14:val="tx1"/>
            </w14:solidFill>
          </w14:textFill>
        </w:rPr>
        <w:t>（三）</w:t>
      </w:r>
      <w:r>
        <w:rPr>
          <w:rFonts w:hint="default" w:ascii="Times New Roman" w:hAnsi="Times New Roman" w:eastAsia="仿宋_GB2312" w:cs="Times New Roman"/>
          <w:color w:val="000000" w:themeColor="text1"/>
          <w:sz w:val="32"/>
          <w:szCs w:val="32"/>
          <w14:textFill>
            <w14:solidFill>
              <w14:schemeClr w14:val="tx1"/>
            </w14:solidFill>
          </w14:textFill>
        </w:rPr>
        <w:t>同</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上位法</w:t>
      </w:r>
      <w:r>
        <w:rPr>
          <w:rFonts w:hint="default" w:ascii="Times New Roman" w:hAnsi="Times New Roman" w:eastAsia="仿宋_GB2312" w:cs="Times New Roman"/>
          <w:color w:val="000000" w:themeColor="text1"/>
          <w:sz w:val="32"/>
          <w:szCs w:val="32"/>
          <w14:textFill>
            <w14:solidFill>
              <w14:schemeClr w14:val="tx1"/>
            </w14:solidFill>
          </w14:textFill>
        </w:rPr>
        <w:t>以及上级或者本级人大及其常委会的决议、决定相抵触</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的</w:t>
      </w:r>
      <w:r>
        <w:rPr>
          <w:rFonts w:hint="default" w:ascii="Times New Roman" w:hAnsi="Times New Roman" w:eastAsia="仿宋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（四）</w:t>
      </w:r>
      <w:r>
        <w:rPr>
          <w:rFonts w:hint="default" w:ascii="Times New Roman" w:hAnsi="Times New Roman" w:eastAsia="仿宋_GB2312" w:cs="Times New Roman"/>
          <w:color w:val="000000" w:themeColor="text1"/>
          <w:sz w:val="32"/>
          <w:szCs w:val="32"/>
          <w14:textFill>
            <w14:solidFill>
              <w14:schemeClr w14:val="tx1"/>
            </w14:solidFill>
          </w14:textFill>
        </w:rPr>
        <w:t>违法设定行政许可、行政处罚、行政强制、行政收费，或者对法律法规设定的行政许可、行政处罚、行政强制、行政收费违法作出调整或</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者</w:t>
      </w:r>
      <w:r>
        <w:rPr>
          <w:rFonts w:hint="default" w:ascii="Times New Roman" w:hAnsi="Times New Roman" w:eastAsia="仿宋_GB2312" w:cs="Times New Roman"/>
          <w:color w:val="000000" w:themeColor="text1"/>
          <w:sz w:val="32"/>
          <w:szCs w:val="32"/>
          <w14:textFill>
            <w14:solidFill>
              <w14:schemeClr w14:val="tx1"/>
            </w14:solidFill>
          </w14:textFill>
        </w:rPr>
        <w:t>改变</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的</w:t>
      </w:r>
      <w:r>
        <w:rPr>
          <w:rFonts w:hint="default" w:ascii="Times New Roman" w:hAnsi="Times New Roman" w:eastAsia="仿宋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（五）</w:t>
      </w:r>
      <w:r>
        <w:rPr>
          <w:rFonts w:hint="default" w:ascii="Times New Roman" w:hAnsi="Times New Roman" w:eastAsia="仿宋_GB2312" w:cs="Times New Roman"/>
          <w:color w:val="000000" w:themeColor="text1"/>
          <w:sz w:val="32"/>
          <w:szCs w:val="32"/>
          <w14:textFill>
            <w14:solidFill>
              <w14:schemeClr w14:val="tx1"/>
            </w14:solidFill>
          </w14:textFill>
        </w:rPr>
        <w:t>与法律法规的立法目的、原则明显相违背，</w:t>
      </w:r>
      <w:r>
        <w:rPr>
          <w:rFonts w:hint="eastAsia" w:ascii="Times New Roman" w:hAnsi="Times New Roman" w:eastAsia="仿宋_GB2312" w:cs="Times New Roman"/>
          <w:color w:val="000000" w:themeColor="text1"/>
          <w:sz w:val="32"/>
          <w:szCs w:val="32"/>
          <w14:textFill>
            <w14:solidFill>
              <w14:schemeClr w14:val="tx1"/>
            </w14:solidFill>
          </w14:textFill>
        </w:rPr>
        <w:t>或者与法律法规规定明显不一致，</w:t>
      </w:r>
      <w:r>
        <w:rPr>
          <w:rFonts w:hint="default" w:ascii="Times New Roman" w:hAnsi="Times New Roman" w:eastAsia="仿宋_GB2312" w:cs="Times New Roman"/>
          <w:color w:val="000000" w:themeColor="text1"/>
          <w:sz w:val="32"/>
          <w:szCs w:val="32"/>
          <w14:textFill>
            <w14:solidFill>
              <w14:schemeClr w14:val="tx1"/>
            </w14:solidFill>
          </w14:textFill>
        </w:rPr>
        <w:t>旨在抵消、改变或者规避上位法规定</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的</w:t>
      </w:r>
      <w:r>
        <w:rPr>
          <w:rFonts w:hint="default" w:ascii="Times New Roman" w:hAnsi="Times New Roman" w:eastAsia="仿宋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（六）</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违反授权决定或者规定，超出授权范围的；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（七）</w:t>
      </w:r>
      <w:r>
        <w:rPr>
          <w:rFonts w:hint="default" w:ascii="Times New Roman" w:hAnsi="Times New Roman" w:eastAsia="仿宋_GB2312" w:cs="Times New Roman"/>
          <w:color w:val="000000" w:themeColor="text1"/>
          <w:sz w:val="32"/>
          <w:szCs w:val="32"/>
          <w14:textFill>
            <w14:solidFill>
              <w14:schemeClr w14:val="tx1"/>
            </w14:solidFill>
          </w14:textFill>
        </w:rPr>
        <w:t>违反法定程序的；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（八）</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其他应当予以修改或者撤销的不适当情形</w:t>
      </w:r>
      <w:r>
        <w:rPr>
          <w:rFonts w:hint="default" w:ascii="Times New Roman" w:hAnsi="Times New Roman" w:eastAsia="仿宋_GB2312" w:cs="Times New Roman"/>
          <w:color w:val="000000" w:themeColor="text1"/>
          <w:sz w:val="32"/>
          <w:szCs w:val="32"/>
          <w14:textFill>
            <w14:solidFill>
              <w14:schemeClr w14:val="tx1"/>
            </w14:solidFill>
          </w14:textFill>
        </w:rPr>
        <w:t>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十三</w:t>
      </w:r>
      <w:r>
        <w:rPr>
          <w:rFonts w:hint="default" w:ascii="Times New Roman" w:hAnsi="Times New Roman" w:eastAsia="黑体" w:cs="Times New Roman"/>
          <w:color w:val="000000" w:themeColor="text1"/>
          <w:sz w:val="32"/>
          <w:szCs w:val="32"/>
          <w14:textFill>
            <w14:solidFill>
              <w14:schemeClr w14:val="tx1"/>
            </w14:solidFill>
          </w14:textFill>
        </w:rPr>
        <w:t xml:space="preserve">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常委会指定的工作机构应当根据备案文件内容，将规范性文件分送有关专门委员会、常委会工作机构审查。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规范性文件的内容涉及多个专门委员会或者常委会工作机构职责范围的，常委会指定的工作机构应当同时分送有关专门委员会、常委会工作机构。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专门委员会、常委会工作机构对分送审查的规范性文件，应当自收到之日起三十日内提出审查意见，交由常委会指定的工作机构汇总研究。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pacing w:val="-6"/>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十四</w:t>
      </w:r>
      <w:r>
        <w:rPr>
          <w:rFonts w:hint="default" w:ascii="Times New Roman" w:hAnsi="Times New Roman" w:eastAsia="黑体" w:cs="Times New Roman"/>
          <w:color w:val="000000" w:themeColor="text1"/>
          <w:sz w:val="32"/>
          <w:szCs w:val="32"/>
          <w14:textFill>
            <w14:solidFill>
              <w14:schemeClr w14:val="tx1"/>
            </w14:solidFill>
          </w14:textFill>
        </w:rPr>
        <w:t xml:space="preserve">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pacing w:val="-6"/>
          <w:sz w:val="32"/>
          <w:szCs w:val="32"/>
          <w14:textFill>
            <w14:solidFill>
              <w14:schemeClr w14:val="tx1"/>
            </w14:solidFill>
          </w14:textFill>
        </w:rPr>
        <w:t>专门委员会、常委会工作机构审查规范性文件时，需要制定机关说明情况或者提交补充材料，制定机关应当予以配合。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专门委员会、常委会工作机构可以单独或者联合召开审查会议，听取制定机关有关情况说明</w:t>
      </w:r>
      <w:r>
        <w:rPr>
          <w:rFonts w:hint="eastAsia" w:ascii="仿宋_GB2312" w:hAnsi="仿宋_GB2312" w:eastAsia="仿宋_GB2312" w:cs="仿宋_GB2312"/>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可以召开论证会，征求有关部门、人大代表、专家学者以及利害关系人的意见。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十五</w:t>
      </w:r>
      <w:r>
        <w:rPr>
          <w:rFonts w:hint="default" w:ascii="Times New Roman" w:hAnsi="Times New Roman" w:eastAsia="黑体" w:cs="Times New Roman"/>
          <w:color w:val="000000" w:themeColor="text1"/>
          <w:sz w:val="32"/>
          <w:szCs w:val="32"/>
          <w14:textFill>
            <w14:solidFill>
              <w14:schemeClr w14:val="tx1"/>
            </w14:solidFill>
          </w14:textFill>
        </w:rPr>
        <w:t xml:space="preserve">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县级以上地方各级人民政府、监察委员会、人民法院、人民检察院认为本级人大常委会接受备案的规范性文件有本条例第十二条所列情形之一的，可以向本级人大常委会书面提出审查要求；</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设区的市、县级</w:t>
      </w:r>
      <w:r>
        <w:rPr>
          <w:rFonts w:hint="default" w:ascii="Times New Roman" w:hAnsi="Times New Roman" w:eastAsia="仿宋_GB2312" w:cs="Times New Roman"/>
          <w:color w:val="000000" w:themeColor="text1"/>
          <w:sz w:val="32"/>
          <w:szCs w:val="32"/>
          <w14:textFill>
            <w14:solidFill>
              <w14:schemeClr w14:val="tx1"/>
            </w14:solidFill>
          </w14:textFill>
        </w:rPr>
        <w:t>人大常委会认为上一级人大常委会接受备案的规范性文件有本条例第十</w:t>
      </w:r>
      <w:r>
        <w:rPr>
          <w:rFonts w:hint="default" w:ascii="Times New Roman" w:hAnsi="Times New Roman" w:eastAsia="仿宋_GB2312" w:cs="Times New Roman"/>
          <w:color w:val="000000" w:themeColor="text1"/>
          <w:spacing w:val="-6"/>
          <w:sz w:val="32"/>
          <w:szCs w:val="32"/>
          <w14:textFill>
            <w14:solidFill>
              <w14:schemeClr w14:val="tx1"/>
            </w14:solidFill>
          </w14:textFill>
        </w:rPr>
        <w:t>二条所列情形之一的，可以向上一级人大常委会书面提出审查要求。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前款之外的其他国家机关、社会团体、企业事业组织或者公民认为规范性文件有本条例第十二条所列情形之一的，可以向</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制定机关所在地的同级或者上级</w:t>
      </w:r>
      <w:r>
        <w:rPr>
          <w:rFonts w:hint="default" w:ascii="Times New Roman" w:hAnsi="Times New Roman" w:eastAsia="仿宋_GB2312" w:cs="Times New Roman"/>
          <w:color w:val="000000" w:themeColor="text1"/>
          <w:sz w:val="32"/>
          <w:szCs w:val="32"/>
          <w14:textFill>
            <w14:solidFill>
              <w14:schemeClr w14:val="tx1"/>
            </w14:solidFill>
          </w14:textFill>
        </w:rPr>
        <w:t>人大常委会书面提出审查建议。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县级以上地方各级人民法院、人民检察院</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在办理案件中，认为规范性文件</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有本条例第十二条</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所列情形</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之一</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的，应当向制定机关所在地的同级或者上级人大常委会</w:t>
      </w:r>
      <w:r>
        <w:rPr>
          <w:rFonts w:hint="default" w:ascii="Times New Roman" w:hAnsi="Times New Roman" w:eastAsia="仿宋_GB2312" w:cs="Times New Roman"/>
          <w:color w:val="000000" w:themeColor="text1"/>
          <w:sz w:val="32"/>
          <w:szCs w:val="32"/>
          <w14:textFill>
            <w14:solidFill>
              <w14:schemeClr w14:val="tx1"/>
            </w14:solidFill>
          </w14:textFill>
        </w:rPr>
        <w:t>书面提出审查要求</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或者审查建议。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审查要求、审查建议应当写明要求或者建议审查的规范性文件名称、审查的事项和理由。审查建议应当实名提出，加盖提出建议单位的公章或者由提出建议的公民署名。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十六</w:t>
      </w:r>
      <w:r>
        <w:rPr>
          <w:rFonts w:hint="default" w:ascii="Times New Roman" w:hAnsi="Times New Roman" w:eastAsia="黑体" w:cs="Times New Roman"/>
          <w:color w:val="000000" w:themeColor="text1"/>
          <w:sz w:val="32"/>
          <w:szCs w:val="32"/>
          <w14:textFill>
            <w14:solidFill>
              <w14:schemeClr w14:val="tx1"/>
            </w14:solidFill>
          </w14:textFill>
        </w:rPr>
        <w:t xml:space="preserve">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本条例第十</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五</w:t>
      </w:r>
      <w:r>
        <w:rPr>
          <w:rFonts w:hint="default" w:ascii="Times New Roman" w:hAnsi="Times New Roman" w:eastAsia="仿宋_GB2312" w:cs="Times New Roman"/>
          <w:color w:val="000000" w:themeColor="text1"/>
          <w:sz w:val="32"/>
          <w:szCs w:val="32"/>
          <w14:textFill>
            <w14:solidFill>
              <w14:schemeClr w14:val="tx1"/>
            </w14:solidFill>
          </w14:textFill>
        </w:rPr>
        <w:t>条规定的审查要求，由常委会指定的工作机构接收、登记后，分送有关专门委员会、常委会工作机构依照第十</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三</w:t>
      </w:r>
      <w:r>
        <w:rPr>
          <w:rFonts w:hint="default" w:ascii="Times New Roman" w:hAnsi="Times New Roman" w:eastAsia="仿宋_GB2312" w:cs="Times New Roman"/>
          <w:color w:val="000000" w:themeColor="text1"/>
          <w:sz w:val="32"/>
          <w:szCs w:val="32"/>
          <w14:textFill>
            <w14:solidFill>
              <w14:schemeClr w14:val="tx1"/>
            </w14:solidFill>
          </w14:textFill>
        </w:rPr>
        <w:t>条、第十</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四</w:t>
      </w:r>
      <w:r>
        <w:rPr>
          <w:rFonts w:hint="default" w:ascii="Times New Roman" w:hAnsi="Times New Roman" w:eastAsia="仿宋_GB2312" w:cs="Times New Roman"/>
          <w:color w:val="000000" w:themeColor="text1"/>
          <w:sz w:val="32"/>
          <w:szCs w:val="32"/>
          <w14:textFill>
            <w14:solidFill>
              <w14:schemeClr w14:val="tx1"/>
            </w14:solidFill>
          </w14:textFill>
        </w:rPr>
        <w:t>条的规定进行审查。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本条例第十</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五</w:t>
      </w:r>
      <w:r>
        <w:rPr>
          <w:rFonts w:hint="default" w:ascii="Times New Roman" w:hAnsi="Times New Roman" w:eastAsia="仿宋_GB2312" w:cs="Times New Roman"/>
          <w:color w:val="000000" w:themeColor="text1"/>
          <w:sz w:val="32"/>
          <w:szCs w:val="32"/>
          <w14:textFill>
            <w14:solidFill>
              <w14:schemeClr w14:val="tx1"/>
            </w14:solidFill>
          </w14:textFill>
        </w:rPr>
        <w:t>条规定的审查建议，由常委会指定的工作机构接收、登记并进行研究，认为有审查必要的，分送有关专门委员会、常委会工作机构依照第十</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三</w:t>
      </w:r>
      <w:r>
        <w:rPr>
          <w:rFonts w:hint="default" w:ascii="Times New Roman" w:hAnsi="Times New Roman" w:eastAsia="仿宋_GB2312" w:cs="Times New Roman"/>
          <w:color w:val="000000" w:themeColor="text1"/>
          <w:sz w:val="32"/>
          <w:szCs w:val="32"/>
          <w14:textFill>
            <w14:solidFill>
              <w14:schemeClr w14:val="tx1"/>
            </w14:solidFill>
          </w14:textFill>
        </w:rPr>
        <w:t>条、第十</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四</w:t>
      </w:r>
      <w:r>
        <w:rPr>
          <w:rFonts w:hint="default" w:ascii="Times New Roman" w:hAnsi="Times New Roman" w:eastAsia="仿宋_GB2312" w:cs="Times New Roman"/>
          <w:color w:val="000000" w:themeColor="text1"/>
          <w:sz w:val="32"/>
          <w:szCs w:val="32"/>
          <w14:textFill>
            <w14:solidFill>
              <w14:schemeClr w14:val="tx1"/>
            </w14:solidFill>
          </w14:textFill>
        </w:rPr>
        <w:t>条的规定进行审查；认为无审查必要的，向提出审查建议的国家机关、社会团体、企业事业组织或者公民说明理由。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十七</w:t>
      </w:r>
      <w:r>
        <w:rPr>
          <w:rFonts w:hint="default" w:ascii="Times New Roman" w:hAnsi="Times New Roman" w:eastAsia="黑体" w:cs="Times New Roman"/>
          <w:color w:val="000000" w:themeColor="text1"/>
          <w:sz w:val="32"/>
          <w:szCs w:val="32"/>
          <w14:textFill>
            <w14:solidFill>
              <w14:schemeClr w14:val="tx1"/>
            </w14:solidFill>
          </w14:textFill>
        </w:rPr>
        <w:t xml:space="preserve">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对不属于本级人大常委会备案范围的审查要求或者审查建议，常委会指定的工作机构可以移送有关国家机关依法处理，或者告知提出审查要求或者审查建议的国家机关、社会团体、企业事业组织或者公民向有权审查的机关提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十八</w:t>
      </w:r>
      <w:r>
        <w:rPr>
          <w:rFonts w:hint="default" w:ascii="Times New Roman" w:hAnsi="Times New Roman" w:eastAsia="黑体" w:cs="Times New Roman"/>
          <w:color w:val="000000" w:themeColor="text1"/>
          <w:sz w:val="32"/>
          <w:szCs w:val="32"/>
          <w14:textFill>
            <w14:solidFill>
              <w14:schemeClr w14:val="tx1"/>
            </w14:solidFill>
          </w14:textFill>
        </w:rPr>
        <w:t xml:space="preserve">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上一级人大常委会指定的工作机构可以要求下一级人大常委会指定的工作机构对其所在地有关国家机关制定的规范性文件进行研究处理，并在六十日内报告处理结果。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上一级人大常委会办公厅（室）可以要求下一级人大常委会对其所在地有关国家机关制定的规范性文件进行研究处理，并在六十日内报告处理结果。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十九</w:t>
      </w:r>
      <w:r>
        <w:rPr>
          <w:rFonts w:hint="default" w:ascii="Times New Roman" w:hAnsi="Times New Roman" w:eastAsia="黑体" w:cs="Times New Roman"/>
          <w:color w:val="000000" w:themeColor="text1"/>
          <w:sz w:val="32"/>
          <w:szCs w:val="32"/>
          <w14:textFill>
            <w14:solidFill>
              <w14:schemeClr w14:val="tx1"/>
            </w14:solidFill>
          </w14:textFill>
        </w:rPr>
        <w:t xml:space="preserve">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专门委员会、常委会工作机构对涉及改革决策部署和政策调整、群众切身利益、社会普遍关注等重大问题的规范性文件可以组织开展专项审查。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专门委员会、常委会工作机构在规范性文件审查中发现可能存在普遍性问题</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的</w:t>
      </w:r>
      <w:r>
        <w:rPr>
          <w:rFonts w:hint="default" w:ascii="Times New Roman" w:hAnsi="Times New Roman" w:eastAsia="仿宋_GB2312" w:cs="Times New Roman"/>
          <w:color w:val="000000" w:themeColor="text1"/>
          <w:sz w:val="32"/>
          <w:szCs w:val="32"/>
          <w14:textFill>
            <w14:solidFill>
              <w14:schemeClr w14:val="tx1"/>
            </w14:solidFill>
          </w14:textFill>
        </w:rPr>
        <w:t>，可以一并对相关规范性文件进行专项审查。</w:t>
      </w: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560" w:lineRule="exact"/>
        <w:ind w:left="0" w:leftChars="0" w:right="0" w:rightChars="0"/>
        <w:jc w:val="center"/>
        <w:textAlignment w:val="auto"/>
        <w:outlineLvl w:val="9"/>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 xml:space="preserve"> 处</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14:textFill>
            <w14:solidFill>
              <w14:schemeClr w14:val="tx1"/>
            </w14:solidFill>
          </w14:textFill>
        </w:rPr>
        <w:t>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hint="default" w:ascii="Times New Roman" w:hAnsi="Times New Roman" w:eastAsia="黑体" w:cs="Times New Roman"/>
          <w:color w:val="000000" w:themeColor="text1"/>
          <w:sz w:val="32"/>
          <w:szCs w:val="32"/>
          <w:lang w:eastAsia="zh-CN"/>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二十</w:t>
      </w:r>
      <w:r>
        <w:rPr>
          <w:rFonts w:hint="default" w:ascii="Times New Roman" w:hAnsi="Times New Roman" w:eastAsia="黑体" w:cs="Times New Roman"/>
          <w:color w:val="000000" w:themeColor="text1"/>
          <w:sz w:val="32"/>
          <w:szCs w:val="32"/>
          <w14:textFill>
            <w14:solidFill>
              <w14:schemeClr w14:val="tx1"/>
            </w14:solidFill>
          </w14:textFill>
        </w:rPr>
        <w:t xml:space="preserve">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专门委员会、常委会工作机构经审查研究，认为规范性文件存在本条例第十二条所列情形需要予以纠正的，</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应当</w:t>
      </w:r>
      <w:r>
        <w:rPr>
          <w:rFonts w:hint="default" w:ascii="Times New Roman" w:hAnsi="Times New Roman" w:eastAsia="仿宋_GB2312" w:cs="Times New Roman"/>
          <w:color w:val="000000" w:themeColor="text1"/>
          <w:sz w:val="32"/>
          <w:szCs w:val="32"/>
          <w14:textFill>
            <w14:solidFill>
              <w14:schemeClr w14:val="tx1"/>
            </w14:solidFill>
          </w14:textFill>
        </w:rPr>
        <w:t>提出</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书面意见</w:t>
      </w:r>
      <w:r>
        <w:rPr>
          <w:rFonts w:hint="default" w:ascii="Times New Roman" w:hAnsi="Times New Roman" w:eastAsia="黑体" w:cs="Times New Roman"/>
          <w:color w:val="000000" w:themeColor="text1"/>
          <w:sz w:val="32"/>
          <w:szCs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常委会指定的工作机构</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应当会同有关专门委员会、常委会工作机构对书面意见进行研究，认为需要予以纠正的，由常委会办公厅（室）</w:t>
      </w:r>
      <w:r>
        <w:rPr>
          <w:rFonts w:hint="default" w:ascii="Times New Roman" w:hAnsi="Times New Roman" w:eastAsia="仿宋_GB2312" w:cs="Times New Roman"/>
          <w:color w:val="000000" w:themeColor="text1"/>
          <w:sz w:val="32"/>
          <w:szCs w:val="32"/>
          <w14:textFill>
            <w14:solidFill>
              <w14:schemeClr w14:val="tx1"/>
            </w14:solidFill>
          </w14:textFill>
        </w:rPr>
        <w:t>向制定机关提出纠正建议。制定机关应</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当在</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四十五</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日内向常委会办公厅（室）书面反馈处理结果。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二十一</w:t>
      </w:r>
      <w:r>
        <w:rPr>
          <w:rFonts w:hint="default" w:ascii="Times New Roman" w:hAnsi="Times New Roman" w:eastAsia="黑体" w:cs="Times New Roman"/>
          <w:color w:val="000000" w:themeColor="text1"/>
          <w:sz w:val="32"/>
          <w:szCs w:val="32"/>
          <w14:textFill>
            <w14:solidFill>
              <w14:schemeClr w14:val="tx1"/>
            </w14:solidFill>
          </w14:textFill>
        </w:rPr>
        <w:t xml:space="preserve">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制定机关未按</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照</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本条例第二十条规定</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的纠正建议</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予以</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处理</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的，常委会指定的工作机构应当会同有关专门委员会、常委会工作机构进行研究，</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认为制定机关提出不予纠正的理由不成立的，应当</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提出初步审查意见，提请本级人大常委会主任会议或者法制委员会进行审查。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二十二</w:t>
      </w:r>
      <w:r>
        <w:rPr>
          <w:rFonts w:hint="default" w:ascii="Times New Roman" w:hAnsi="Times New Roman" w:eastAsia="黑体" w:cs="Times New Roman"/>
          <w:color w:val="000000" w:themeColor="text1"/>
          <w:sz w:val="32"/>
          <w:szCs w:val="32"/>
          <w14:textFill>
            <w14:solidFill>
              <w14:schemeClr w14:val="tx1"/>
            </w14:solidFill>
          </w14:textFill>
        </w:rPr>
        <w:t xml:space="preserve">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主任会议或者法制委员会经审查认为规范性文件存在本条例第十二条所列情形需要予以纠正的，由常委会办公厅（室）向制定机关发出书面审查意见，要求制定机关自行修改或者废止该规范性文件。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二十三</w:t>
      </w:r>
      <w:r>
        <w:rPr>
          <w:rFonts w:hint="default" w:ascii="Times New Roman" w:hAnsi="Times New Roman" w:eastAsia="黑体" w:cs="Times New Roman"/>
          <w:color w:val="000000" w:themeColor="text1"/>
          <w:sz w:val="32"/>
          <w:szCs w:val="32"/>
          <w14:textFill>
            <w14:solidFill>
              <w14:schemeClr w14:val="tx1"/>
            </w14:solidFill>
          </w14:textFill>
        </w:rPr>
        <w:t xml:space="preserve">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制定机关应当自收到书面审查意见之日起六十日内</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将处理情况向</w:t>
      </w:r>
      <w:r>
        <w:rPr>
          <w:rFonts w:hint="default" w:ascii="Times New Roman" w:hAnsi="Times New Roman" w:eastAsia="仿宋_GB2312" w:cs="Times New Roman"/>
          <w:color w:val="000000" w:themeColor="text1"/>
          <w:sz w:val="32"/>
          <w:szCs w:val="32"/>
          <w14:textFill>
            <w14:solidFill>
              <w14:schemeClr w14:val="tx1"/>
            </w14:solidFill>
          </w14:textFill>
        </w:rPr>
        <w:t>常委会办公厅（室）</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反馈，</w:t>
      </w:r>
      <w:r>
        <w:rPr>
          <w:rFonts w:hint="default" w:ascii="Times New Roman" w:hAnsi="Times New Roman" w:eastAsia="仿宋_GB2312" w:cs="Times New Roman"/>
          <w:color w:val="000000" w:themeColor="text1"/>
          <w:sz w:val="32"/>
          <w:szCs w:val="32"/>
          <w14:textFill>
            <w14:solidFill>
              <w14:schemeClr w14:val="tx1"/>
            </w14:solidFill>
          </w14:textFill>
        </w:rPr>
        <w:t>常委会办公厅（室）</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应当</w:t>
      </w:r>
      <w:r>
        <w:rPr>
          <w:rFonts w:hint="default" w:ascii="Times New Roman" w:hAnsi="Times New Roman" w:eastAsia="仿宋_GB2312" w:cs="Times New Roman"/>
          <w:color w:val="000000" w:themeColor="text1"/>
          <w:sz w:val="32"/>
          <w:szCs w:val="32"/>
          <w14:textFill>
            <w14:solidFill>
              <w14:schemeClr w14:val="tx1"/>
            </w14:solidFill>
          </w14:textFill>
        </w:rPr>
        <w:t>向主任会议或者法制委员会报告。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二十四</w:t>
      </w:r>
      <w:r>
        <w:rPr>
          <w:rFonts w:hint="default" w:ascii="Times New Roman" w:hAnsi="Times New Roman" w:eastAsia="黑体" w:cs="Times New Roman"/>
          <w:color w:val="000000" w:themeColor="text1"/>
          <w:sz w:val="32"/>
          <w:szCs w:val="32"/>
          <w14:textFill>
            <w14:solidFill>
              <w14:schemeClr w14:val="tx1"/>
            </w14:solidFill>
          </w14:textFill>
        </w:rPr>
        <w:t xml:space="preserve">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经审查认为规范性文件存在本条例第十二条所列情形而制定机关不予纠正的，法制委员会</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依照改变或者撤销规范性文件的法定权限</w:t>
      </w:r>
      <w:r>
        <w:rPr>
          <w:rFonts w:hint="default" w:ascii="Times New Roman" w:hAnsi="Times New Roman" w:eastAsia="仿宋_GB2312" w:cs="Times New Roman"/>
          <w:color w:val="000000" w:themeColor="text1"/>
          <w:sz w:val="32"/>
          <w:szCs w:val="32"/>
          <w14:textFill>
            <w14:solidFill>
              <w14:schemeClr w14:val="tx1"/>
            </w14:solidFill>
          </w14:textFill>
        </w:rPr>
        <w:t>向</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主任会议</w:t>
      </w:r>
      <w:r>
        <w:rPr>
          <w:rFonts w:hint="default" w:ascii="Times New Roman" w:hAnsi="Times New Roman" w:eastAsia="仿宋_GB2312" w:cs="Times New Roman"/>
          <w:color w:val="000000" w:themeColor="text1"/>
          <w:sz w:val="32"/>
          <w:szCs w:val="32"/>
          <w14:textFill>
            <w14:solidFill>
              <w14:schemeClr w14:val="tx1"/>
            </w14:solidFill>
          </w14:textFill>
        </w:rPr>
        <w:t>提出</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书面审查意见和</w:t>
      </w:r>
      <w:r>
        <w:rPr>
          <w:rFonts w:hint="default" w:ascii="Times New Roman" w:hAnsi="Times New Roman" w:eastAsia="仿宋_GB2312" w:cs="Times New Roman"/>
          <w:color w:val="000000" w:themeColor="text1"/>
          <w:sz w:val="32"/>
          <w:szCs w:val="32"/>
          <w14:textFill>
            <w14:solidFill>
              <w14:schemeClr w14:val="tx1"/>
            </w14:solidFill>
          </w14:textFill>
        </w:rPr>
        <w:t>议案</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、建议</w:t>
      </w:r>
      <w:r>
        <w:rPr>
          <w:rFonts w:hint="default" w:ascii="Times New Roman" w:hAnsi="Times New Roman" w:eastAsia="仿宋_GB2312" w:cs="Times New Roman"/>
          <w:color w:val="000000" w:themeColor="text1"/>
          <w:sz w:val="32"/>
          <w:szCs w:val="32"/>
          <w14:textFill>
            <w14:solidFill>
              <w14:schemeClr w14:val="tx1"/>
            </w14:solidFill>
          </w14:textFill>
        </w:rPr>
        <w:t>，由主任会议决定是否提请常委会会议审议决定；或者由主任会议提出议案提请常委会会议审议决定。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hint="eastAsia" w:ascii="Times New Roman" w:hAnsi="Times New Roman" w:eastAsia="仿宋_GB2312" w:cs="Times New Roman"/>
          <w:color w:val="000000" w:themeColor="text1"/>
          <w:sz w:val="32"/>
          <w:szCs w:val="32"/>
          <w:lang w:eastAsia="zh-CN"/>
          <w14:textFill>
            <w14:solidFill>
              <w14:schemeClr w14:val="tx1"/>
            </w14:solidFill>
          </w14:textFill>
        </w:rPr>
      </w:pPr>
      <w:r>
        <w:rPr>
          <w:rFonts w:hint="eastAsia" w:ascii="Times New Roman" w:hAnsi="Times New Roman" w:eastAsia="仿宋_GB2312" w:cs="Times New Roman"/>
          <w:color w:val="000000" w:themeColor="text1"/>
          <w:sz w:val="32"/>
          <w:szCs w:val="32"/>
          <w:lang w:eastAsia="zh-CN"/>
          <w14:textFill>
            <w14:solidFill>
              <w14:schemeClr w14:val="tx1"/>
            </w14:solidFill>
          </w14:textFill>
        </w:rPr>
        <w:t>常委会会议对改变或者撤销规范性文件的议案、建议进行审议时，制定机关应当派有关负责人员到会听取意见，回答询问，并可以书面陈述意见。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hint="default" w:ascii="Times New Roman" w:hAnsi="Times New Roman" w:eastAsia="仿宋_GB2312" w:cs="Times New Roman"/>
          <w:color w:val="000000" w:themeColor="text1"/>
          <w:spacing w:val="-6"/>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二十五</w:t>
      </w:r>
      <w:r>
        <w:rPr>
          <w:rFonts w:hint="default" w:ascii="Times New Roman" w:hAnsi="Times New Roman" w:eastAsia="黑体" w:cs="Times New Roman"/>
          <w:color w:val="000000" w:themeColor="text1"/>
          <w:sz w:val="32"/>
          <w:szCs w:val="32"/>
          <w14:textFill>
            <w14:solidFill>
              <w14:schemeClr w14:val="tx1"/>
            </w14:solidFill>
          </w14:textFill>
        </w:rPr>
        <w:t xml:space="preserve">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pacing w:val="-6"/>
          <w:sz w:val="32"/>
          <w:szCs w:val="32"/>
          <w14:textFill>
            <w14:solidFill>
              <w14:schemeClr w14:val="tx1"/>
            </w14:solidFill>
          </w14:textFill>
        </w:rPr>
        <w:t>人大常委会可以决定撤销规范性文件，也可以决定撤销规范性文件的部分内容。常委会的撤销决定向社会公布。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二十六</w:t>
      </w:r>
      <w:r>
        <w:rPr>
          <w:rFonts w:hint="default" w:ascii="Times New Roman" w:hAnsi="Times New Roman" w:eastAsia="黑体" w:cs="Times New Roman"/>
          <w:color w:val="000000" w:themeColor="text1"/>
          <w:sz w:val="32"/>
          <w:szCs w:val="32"/>
          <w14:textFill>
            <w14:solidFill>
              <w14:schemeClr w14:val="tx1"/>
            </w14:solidFill>
          </w14:textFill>
        </w:rPr>
        <w:t xml:space="preserve">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制定机关对修改或者部分撤销后的规范性文件，应当重新公布，并按照本条例规定重新报送备案。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二十七</w:t>
      </w:r>
      <w:r>
        <w:rPr>
          <w:rFonts w:hint="default" w:ascii="Times New Roman" w:hAnsi="Times New Roman" w:eastAsia="黑体" w:cs="Times New Roman"/>
          <w:color w:val="000000" w:themeColor="text1"/>
          <w:sz w:val="32"/>
          <w:szCs w:val="32"/>
          <w14:textFill>
            <w14:solidFill>
              <w14:schemeClr w14:val="tx1"/>
            </w14:solidFill>
          </w14:textFill>
        </w:rPr>
        <w:t xml:space="preserve">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常委会指定的工作机构应当在规范性文件依申请审查工作结束后十日内，将审查结果告知提出审查要求或者审查建议的国家机关、社会团体、企业事业组织或者公民。</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leftChars="0" w:right="0" w:rightChars="0"/>
        <w:jc w:val="center"/>
        <w:textAlignment w:val="auto"/>
        <w:outlineLvl w:val="9"/>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第五章  监督与保障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二十八</w:t>
      </w:r>
      <w:r>
        <w:rPr>
          <w:rFonts w:hint="default" w:ascii="Times New Roman" w:hAnsi="Times New Roman" w:eastAsia="黑体" w:cs="Times New Roman"/>
          <w:color w:val="000000" w:themeColor="text1"/>
          <w:sz w:val="32"/>
          <w:szCs w:val="32"/>
          <w14:textFill>
            <w14:solidFill>
              <w14:schemeClr w14:val="tx1"/>
            </w14:solidFill>
          </w14:textFill>
        </w:rPr>
        <w:t xml:space="preserve">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县级以上地方各级人大常委会应当将规范性文件备案审查工作列入年度工作计划。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default" w:ascii="Times New Roman" w:hAnsi="Times New Roman" w:eastAsia="黑体" w:cs="Times New Roman"/>
          <w:color w:val="000000" w:themeColor="text1"/>
          <w:sz w:val="32"/>
          <w:szCs w:val="32"/>
          <w:shd w:val="clear" w:color="auto" w:fill="auto"/>
          <w:lang w:eastAsia="zh-CN"/>
          <w14:textFill>
            <w14:solidFill>
              <w14:schemeClr w14:val="tx1"/>
            </w14:solidFill>
          </w14:textFill>
        </w:rPr>
        <w:t>二十九</w:t>
      </w:r>
      <w:r>
        <w:rPr>
          <w:rFonts w:hint="default" w:ascii="Times New Roman" w:hAnsi="Times New Roman" w:eastAsia="黑体" w:cs="Times New Roman"/>
          <w:color w:val="000000" w:themeColor="text1"/>
          <w:sz w:val="32"/>
          <w:szCs w:val="32"/>
          <w14:textFill>
            <w14:solidFill>
              <w14:schemeClr w14:val="tx1"/>
            </w14:solidFill>
          </w14:textFill>
        </w:rPr>
        <w:t xml:space="preserve">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常委会指定的工作机构应当对规范性文件的</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报备</w:t>
      </w:r>
      <w:r>
        <w:rPr>
          <w:rFonts w:hint="default" w:ascii="Times New Roman" w:hAnsi="Times New Roman" w:eastAsia="仿宋_GB2312" w:cs="Times New Roman"/>
          <w:color w:val="000000" w:themeColor="text1"/>
          <w:sz w:val="32"/>
          <w:szCs w:val="32"/>
          <w14:textFill>
            <w14:solidFill>
              <w14:schemeClr w14:val="tx1"/>
            </w14:solidFill>
          </w14:textFill>
        </w:rPr>
        <w:t>工作进行督促检查，对于迟报、漏报、报送不规范等情况予以通报。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z w:val="32"/>
          <w:szCs w:val="32"/>
          <w:lang w:eastAsia="zh-CN"/>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三十</w:t>
      </w:r>
      <w:r>
        <w:rPr>
          <w:rFonts w:hint="default" w:ascii="Times New Roman" w:hAnsi="Times New Roman" w:eastAsia="黑体" w:cs="Times New Roman"/>
          <w:color w:val="000000" w:themeColor="text1"/>
          <w:sz w:val="32"/>
          <w:szCs w:val="32"/>
          <w14:textFill>
            <w14:solidFill>
              <w14:schemeClr w14:val="tx1"/>
            </w14:solidFill>
          </w14:textFill>
        </w:rPr>
        <w:t xml:space="preserve">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eastAsia="zh-CN"/>
          <w14:textFill>
            <w14:solidFill>
              <w14:schemeClr w14:val="tx1"/>
            </w14:solidFill>
          </w14:textFill>
        </w:rPr>
        <w:t>制定机关未按照书面审查意见在规定期限内对规范性文件予以处理的，或者提出不予修改、废止的理由经审查认为不成立且制定机关不予纠正的，由人大常委会依法撤销后予以通报。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三十一</w:t>
      </w:r>
      <w:r>
        <w:rPr>
          <w:rFonts w:hint="default" w:ascii="Times New Roman" w:hAnsi="Times New Roman" w:eastAsia="黑体" w:cs="Times New Roman"/>
          <w:color w:val="000000" w:themeColor="text1"/>
          <w:sz w:val="32"/>
          <w:szCs w:val="32"/>
          <w14:textFill>
            <w14:solidFill>
              <w14:schemeClr w14:val="tx1"/>
            </w14:solidFill>
          </w14:textFill>
        </w:rPr>
        <w:t xml:space="preserve">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常委会指定的工作机构应当在每年第一季度，将上一年度规范性文件备案审查工作情况向本级人大常委会会议报告并提请审议。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hint="default" w:ascii="Times New Roman" w:hAnsi="Times New Roman" w:eastAsia="仿宋_GB2312" w:cs="Times New Roman"/>
          <w:color w:val="000000" w:themeColor="text1"/>
          <w:spacing w:val="-6"/>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三十二</w:t>
      </w:r>
      <w:r>
        <w:rPr>
          <w:rFonts w:hint="default" w:ascii="Times New Roman" w:hAnsi="Times New Roman" w:eastAsia="黑体" w:cs="Times New Roman"/>
          <w:color w:val="000000" w:themeColor="text1"/>
          <w:sz w:val="32"/>
          <w:szCs w:val="32"/>
          <w14:textFill>
            <w14:solidFill>
              <w14:schemeClr w14:val="tx1"/>
            </w14:solidFill>
          </w14:textFill>
        </w:rPr>
        <w:t xml:space="preserve">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pacing w:val="-6"/>
          <w:sz w:val="32"/>
          <w:szCs w:val="32"/>
          <w14:textFill>
            <w14:solidFill>
              <w14:schemeClr w14:val="tx1"/>
            </w14:solidFill>
          </w14:textFill>
        </w:rPr>
        <w:t>县级以上地方各级人大常委会应当建立社会公众有序参与规范性文件备案审查工作机制，畅通提出审查要求和审查建议的渠道。有关专门委员会、常委会工作机构在办理审查要求或者审查建议时，可以听取提出审查要求或者审查建议的</w:t>
      </w:r>
      <w:r>
        <w:rPr>
          <w:rFonts w:hint="default" w:ascii="Times New Roman" w:hAnsi="Times New Roman" w:eastAsia="仿宋_GB2312" w:cs="Times New Roman"/>
          <w:color w:val="000000" w:themeColor="text1"/>
          <w:sz w:val="32"/>
          <w:szCs w:val="32"/>
          <w14:textFill>
            <w14:solidFill>
              <w14:schemeClr w14:val="tx1"/>
            </w14:solidFill>
          </w14:textFill>
        </w:rPr>
        <w:t>国家机关、社会团体、企业事业组织或者公民</w:t>
      </w:r>
      <w:r>
        <w:rPr>
          <w:rFonts w:hint="default" w:ascii="Times New Roman" w:hAnsi="Times New Roman" w:eastAsia="仿宋_GB2312" w:cs="Times New Roman"/>
          <w:color w:val="000000" w:themeColor="text1"/>
          <w:spacing w:val="-6"/>
          <w:sz w:val="32"/>
          <w:szCs w:val="32"/>
          <w14:textFill>
            <w14:solidFill>
              <w14:schemeClr w14:val="tx1"/>
            </w14:solidFill>
          </w14:textFill>
        </w:rPr>
        <w:t>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hint="default" w:ascii="Times New Roman" w:hAnsi="Times New Roman" w:eastAsia="仿宋_GB2312" w:cs="Times New Roman"/>
          <w:color w:val="000000" w:themeColor="text1"/>
          <w:spacing w:val="-6"/>
          <w:sz w:val="32"/>
          <w:szCs w:val="32"/>
          <w14:textFill>
            <w14:solidFill>
              <w14:schemeClr w14:val="tx1"/>
            </w14:solidFill>
          </w14:textFill>
        </w:rPr>
      </w:pPr>
      <w:r>
        <w:rPr>
          <w:rFonts w:hint="default" w:ascii="Times New Roman" w:hAnsi="Times New Roman" w:eastAsia="仿宋_GB2312" w:cs="Times New Roman"/>
          <w:color w:val="000000" w:themeColor="text1"/>
          <w:spacing w:val="-6"/>
          <w:sz w:val="32"/>
          <w:szCs w:val="32"/>
          <w14:textFill>
            <w14:solidFill>
              <w14:schemeClr w14:val="tx1"/>
            </w14:solidFill>
          </w14:textFill>
        </w:rPr>
        <w:t>县级以上地方各级人大常委会可以委托具备专业能力和条件的</w:t>
      </w:r>
      <w:r>
        <w:rPr>
          <w:rFonts w:hint="eastAsia" w:ascii="Times New Roman" w:hAnsi="Times New Roman" w:eastAsia="仿宋_GB2312" w:cs="Times New Roman"/>
          <w:color w:val="000000" w:themeColor="text1"/>
          <w:spacing w:val="-6"/>
          <w:sz w:val="32"/>
          <w:szCs w:val="32"/>
          <w:lang w:eastAsia="zh-CN"/>
          <w14:textFill>
            <w14:solidFill>
              <w14:schemeClr w14:val="tx1"/>
            </w14:solidFill>
          </w14:textFill>
        </w:rPr>
        <w:t>第三方机构</w:t>
      </w:r>
      <w:r>
        <w:rPr>
          <w:rFonts w:hint="default" w:ascii="Times New Roman" w:hAnsi="Times New Roman" w:eastAsia="仿宋_GB2312" w:cs="Times New Roman"/>
          <w:color w:val="000000" w:themeColor="text1"/>
          <w:spacing w:val="-6"/>
          <w:sz w:val="32"/>
          <w:szCs w:val="32"/>
          <w14:textFill>
            <w14:solidFill>
              <w14:schemeClr w14:val="tx1"/>
            </w14:solidFill>
          </w14:textFill>
        </w:rPr>
        <w:t>对规范性文件进行研究并</w:t>
      </w:r>
      <w:r>
        <w:rPr>
          <w:rFonts w:hint="eastAsia" w:ascii="Times New Roman" w:hAnsi="Times New Roman" w:eastAsia="仿宋_GB2312" w:cs="Times New Roman"/>
          <w:color w:val="000000" w:themeColor="text1"/>
          <w:spacing w:val="-6"/>
          <w:sz w:val="32"/>
          <w:szCs w:val="32"/>
          <w:lang w:eastAsia="zh-CN"/>
          <w14:textFill>
            <w14:solidFill>
              <w14:schemeClr w14:val="tx1"/>
            </w14:solidFill>
          </w14:textFill>
        </w:rPr>
        <w:t>提出</w:t>
      </w:r>
      <w:r>
        <w:rPr>
          <w:rFonts w:hint="default" w:ascii="Times New Roman" w:hAnsi="Times New Roman" w:eastAsia="仿宋_GB2312" w:cs="Times New Roman"/>
          <w:color w:val="000000" w:themeColor="text1"/>
          <w:spacing w:val="-6"/>
          <w:sz w:val="32"/>
          <w:szCs w:val="32"/>
          <w14:textFill>
            <w14:solidFill>
              <w14:schemeClr w14:val="tx1"/>
            </w14:solidFill>
          </w14:textFill>
        </w:rPr>
        <w:t>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themeColor="text1"/>
          <w:spacing w:val="-6"/>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三十三</w:t>
      </w:r>
      <w:r>
        <w:rPr>
          <w:rFonts w:hint="default" w:ascii="Times New Roman" w:hAnsi="Times New Roman" w:eastAsia="黑体" w:cs="Times New Roman"/>
          <w:color w:val="000000" w:themeColor="text1"/>
          <w:sz w:val="32"/>
          <w:szCs w:val="32"/>
          <w14:textFill>
            <w14:solidFill>
              <w14:schemeClr w14:val="tx1"/>
            </w14:solidFill>
          </w14:textFill>
        </w:rPr>
        <w:t xml:space="preserve">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县级以上</w:t>
      </w:r>
      <w:r>
        <w:rPr>
          <w:rFonts w:hint="default" w:ascii="Times New Roman" w:hAnsi="Times New Roman" w:eastAsia="仿宋_GB2312" w:cs="Times New Roman"/>
          <w:color w:val="000000" w:themeColor="text1"/>
          <w:spacing w:val="-6"/>
          <w:sz w:val="32"/>
          <w:szCs w:val="32"/>
          <w14:textFill>
            <w14:solidFill>
              <w14:schemeClr w14:val="tx1"/>
            </w14:solidFill>
          </w14:textFill>
        </w:rPr>
        <w:t>地方各级人大常委会应当加强备案审查信息化建设，建立完善备案审</w:t>
      </w:r>
      <w:r>
        <w:rPr>
          <w:rFonts w:hint="default" w:ascii="Times New Roman" w:hAnsi="Times New Roman" w:eastAsia="仿宋_GB2312" w:cs="Times New Roman"/>
          <w:color w:val="000000" w:themeColor="text1"/>
          <w:sz w:val="32"/>
          <w:szCs w:val="32"/>
          <w14:textFill>
            <w14:solidFill>
              <w14:schemeClr w14:val="tx1"/>
            </w14:solidFill>
          </w14:textFill>
        </w:rPr>
        <w:t>查信息平台，提高备案审查工作</w:t>
      </w:r>
      <w:r>
        <w:rPr>
          <w:rFonts w:hint="eastAsia" w:ascii="Times New Roman" w:hAnsi="Times New Roman" w:eastAsia="仿宋_GB2312" w:cs="Times New Roman"/>
          <w:color w:val="000000" w:themeColor="text1"/>
          <w:spacing w:val="-6"/>
          <w:sz w:val="32"/>
          <w:szCs w:val="32"/>
          <w:lang w:eastAsia="zh-CN"/>
          <w14:textFill>
            <w14:solidFill>
              <w14:schemeClr w14:val="tx1"/>
            </w14:solidFill>
          </w14:textFill>
        </w:rPr>
        <w:t>效率和</w:t>
      </w:r>
      <w:r>
        <w:rPr>
          <w:rFonts w:hint="default" w:ascii="Times New Roman" w:hAnsi="Times New Roman" w:eastAsia="仿宋_GB2312" w:cs="Times New Roman"/>
          <w:color w:val="000000" w:themeColor="text1"/>
          <w:spacing w:val="-6"/>
          <w:sz w:val="32"/>
          <w:szCs w:val="32"/>
          <w14:textFill>
            <w14:solidFill>
              <w14:schemeClr w14:val="tx1"/>
            </w14:solidFill>
          </w14:textFill>
        </w:rPr>
        <w:t>规范化</w:t>
      </w:r>
      <w:r>
        <w:rPr>
          <w:rFonts w:hint="eastAsia" w:ascii="Times New Roman" w:hAnsi="Times New Roman" w:eastAsia="仿宋_GB2312" w:cs="Times New Roman"/>
          <w:color w:val="000000" w:themeColor="text1"/>
          <w:spacing w:val="-6"/>
          <w:sz w:val="32"/>
          <w:szCs w:val="32"/>
          <w:lang w:eastAsia="zh-CN"/>
          <w14:textFill>
            <w14:solidFill>
              <w14:schemeClr w14:val="tx1"/>
            </w14:solidFill>
          </w14:textFill>
        </w:rPr>
        <w:t>水平</w:t>
      </w:r>
      <w:r>
        <w:rPr>
          <w:rFonts w:hint="default" w:ascii="Times New Roman" w:hAnsi="Times New Roman" w:eastAsia="仿宋_GB2312" w:cs="Times New Roman"/>
          <w:color w:val="000000" w:themeColor="text1"/>
          <w:spacing w:val="-6"/>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三十四</w:t>
      </w:r>
      <w:r>
        <w:rPr>
          <w:rFonts w:hint="default" w:ascii="Times New Roman" w:hAnsi="Times New Roman" w:eastAsia="黑体" w:cs="Times New Roman"/>
          <w:color w:val="000000" w:themeColor="text1"/>
          <w:sz w:val="32"/>
          <w:szCs w:val="32"/>
          <w14:textFill>
            <w14:solidFill>
              <w14:schemeClr w14:val="tx1"/>
            </w14:solidFill>
          </w14:textFill>
        </w:rPr>
        <w:t xml:space="preserve">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县级以上地</w:t>
      </w:r>
      <w:r>
        <w:rPr>
          <w:rFonts w:hint="default" w:ascii="Times New Roman" w:hAnsi="Times New Roman" w:eastAsia="仿宋_GB2312" w:cs="Times New Roman"/>
          <w:color w:val="000000" w:themeColor="text1"/>
          <w:spacing w:val="-6"/>
          <w:sz w:val="32"/>
          <w:szCs w:val="32"/>
          <w14:textFill>
            <w14:solidFill>
              <w14:schemeClr w14:val="tx1"/>
            </w14:solidFill>
          </w14:textFill>
        </w:rPr>
        <w:t>方各级人大常</w:t>
      </w:r>
      <w:r>
        <w:rPr>
          <w:rFonts w:hint="default" w:ascii="Times New Roman" w:hAnsi="Times New Roman" w:eastAsia="仿宋_GB2312" w:cs="Times New Roman"/>
          <w:color w:val="000000" w:themeColor="text1"/>
          <w:sz w:val="32"/>
          <w:szCs w:val="32"/>
          <w14:textFill>
            <w14:solidFill>
              <w14:schemeClr w14:val="tx1"/>
            </w14:solidFill>
          </w14:textFill>
        </w:rPr>
        <w:t>委会应当加强规范性文件备案审查工作队伍建设，加强人员培训，提高工作能力。</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60" w:lineRule="exact"/>
        <w:ind w:left="0" w:leftChars="0" w:right="0" w:rightChars="0"/>
        <w:jc w:val="center"/>
        <w:textAlignment w:val="auto"/>
        <w:outlineLvl w:val="9"/>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第六章  附</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14:textFill>
            <w14:solidFill>
              <w14:schemeClr w14:val="tx1"/>
            </w14:solidFill>
          </w14:textFill>
        </w:rPr>
        <w:t>则</w:t>
      </w:r>
    </w:p>
    <w:p>
      <w:pPr>
        <w:pStyle w:val="2"/>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40" w:firstLineChars="200"/>
        <w:jc w:val="both"/>
        <w:textAlignment w:val="auto"/>
        <w:rPr>
          <w:rFonts w:hint="default" w:ascii="Times New Roman" w:hAnsi="Times New Roman" w:eastAsia="黑体" w:cs="Times New Roman"/>
          <w:color w:val="000000" w:themeColor="text1"/>
          <w:sz w:val="32"/>
          <w:szCs w:val="32"/>
          <w:lang w:val="en-US" w:eastAsia="zh-CN"/>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w:t>
      </w:r>
      <w:r>
        <w:rPr>
          <w:rFonts w:hint="eastAsia" w:ascii="Times New Roman" w:hAnsi="Times New Roman" w:eastAsia="黑体" w:cs="Times New Roman"/>
          <w:color w:val="000000" w:themeColor="text1"/>
          <w:sz w:val="32"/>
          <w:szCs w:val="32"/>
          <w:lang w:eastAsia="zh-CN"/>
          <w14:textFill>
            <w14:solidFill>
              <w14:schemeClr w14:val="tx1"/>
            </w14:solidFill>
          </w14:textFill>
        </w:rPr>
        <w:t>三十五</w:t>
      </w:r>
      <w:r>
        <w:rPr>
          <w:rFonts w:hint="default" w:ascii="Times New Roman" w:hAnsi="Times New Roman" w:eastAsia="黑体" w:cs="Times New Roman"/>
          <w:color w:val="000000" w:themeColor="text1"/>
          <w:sz w:val="32"/>
          <w:szCs w:val="32"/>
          <w14:textFill>
            <w14:solidFill>
              <w14:schemeClr w14:val="tx1"/>
            </w14:solidFill>
          </w14:textFill>
        </w:rPr>
        <w:t xml:space="preserve">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pacing w:val="-6"/>
          <w:sz w:val="32"/>
          <w:szCs w:val="32"/>
          <w14:textFill>
            <w14:solidFill>
              <w14:schemeClr w14:val="tx1"/>
            </w14:solidFill>
          </w14:textFill>
        </w:rPr>
        <w:t>本条例自</w:t>
      </w:r>
      <w:r>
        <w:rPr>
          <w:rFonts w:hint="eastAsia" w:ascii="Times New Roman" w:hAnsi="Times New Roman" w:eastAsia="仿宋_GB2312" w:cs="Times New Roman"/>
          <w:color w:val="000000" w:themeColor="text1"/>
          <w:spacing w:val="-6"/>
          <w:sz w:val="32"/>
          <w:szCs w:val="32"/>
          <w:lang w:val="en-US" w:eastAsia="zh-CN"/>
          <w14:textFill>
            <w14:solidFill>
              <w14:schemeClr w14:val="tx1"/>
            </w14:solidFill>
          </w14:textFill>
        </w:rPr>
        <w:t>2021</w:t>
      </w:r>
      <w:r>
        <w:rPr>
          <w:rFonts w:hint="default" w:ascii="Times New Roman" w:hAnsi="Times New Roman" w:eastAsia="仿宋_GB2312" w:cs="Times New Roman"/>
          <w:color w:val="000000" w:themeColor="text1"/>
          <w:spacing w:val="-6"/>
          <w:sz w:val="32"/>
          <w:szCs w:val="32"/>
          <w14:textFill>
            <w14:solidFill>
              <w14:schemeClr w14:val="tx1"/>
            </w14:solidFill>
          </w14:textFill>
        </w:rPr>
        <w:t>年</w:t>
      </w:r>
      <w:r>
        <w:rPr>
          <w:rFonts w:hint="eastAsia" w:ascii="Times New Roman" w:hAnsi="Times New Roman" w:eastAsia="仿宋_GB2312" w:cs="Times New Roman"/>
          <w:color w:val="000000" w:themeColor="text1"/>
          <w:spacing w:val="-6"/>
          <w:sz w:val="32"/>
          <w:szCs w:val="32"/>
          <w:lang w:val="en-US" w:eastAsia="zh-CN"/>
          <w14:textFill>
            <w14:solidFill>
              <w14:schemeClr w14:val="tx1"/>
            </w14:solidFill>
          </w14:textFill>
        </w:rPr>
        <w:t>1</w:t>
      </w:r>
      <w:r>
        <w:rPr>
          <w:rFonts w:hint="default" w:ascii="Times New Roman" w:hAnsi="Times New Roman" w:eastAsia="仿宋_GB2312" w:cs="Times New Roman"/>
          <w:color w:val="000000" w:themeColor="text1"/>
          <w:spacing w:val="-6"/>
          <w:sz w:val="32"/>
          <w:szCs w:val="32"/>
          <w14:textFill>
            <w14:solidFill>
              <w14:schemeClr w14:val="tx1"/>
            </w14:solidFill>
          </w14:textFill>
        </w:rPr>
        <w:t>月</w:t>
      </w:r>
      <w:r>
        <w:rPr>
          <w:rFonts w:hint="eastAsia" w:ascii="Times New Roman" w:hAnsi="Times New Roman" w:eastAsia="仿宋_GB2312" w:cs="Times New Roman"/>
          <w:color w:val="000000" w:themeColor="text1"/>
          <w:spacing w:val="-6"/>
          <w:sz w:val="32"/>
          <w:szCs w:val="32"/>
          <w:lang w:val="en-US" w:eastAsia="zh-CN"/>
          <w14:textFill>
            <w14:solidFill>
              <w14:schemeClr w14:val="tx1"/>
            </w14:solidFill>
          </w14:textFill>
        </w:rPr>
        <w:t>1</w:t>
      </w:r>
      <w:r>
        <w:rPr>
          <w:rFonts w:hint="default" w:ascii="Times New Roman" w:hAnsi="Times New Roman" w:eastAsia="仿宋_GB2312" w:cs="Times New Roman"/>
          <w:color w:val="000000" w:themeColor="text1"/>
          <w:spacing w:val="-6"/>
          <w:sz w:val="32"/>
          <w:szCs w:val="32"/>
          <w14:textFill>
            <w14:solidFill>
              <w14:schemeClr w14:val="tx1"/>
            </w14:solidFill>
          </w14:textFill>
        </w:rPr>
        <w:t>日起施行。2005年</w:t>
      </w:r>
      <w:r>
        <w:rPr>
          <w:rFonts w:hint="default" w:ascii="Times New Roman" w:hAnsi="Times New Roman" w:eastAsia="仿宋_GB2312" w:cs="Times New Roman"/>
          <w:color w:val="000000" w:themeColor="text1"/>
          <w:spacing w:val="-6"/>
          <w:sz w:val="32"/>
          <w:szCs w:val="32"/>
          <w:lang w:val="en-US" w:eastAsia="zh-CN"/>
          <w14:textFill>
            <w14:solidFill>
              <w14:schemeClr w14:val="tx1"/>
            </w14:solidFill>
          </w14:textFill>
        </w:rPr>
        <w:t>7</w:t>
      </w:r>
      <w:r>
        <w:rPr>
          <w:rFonts w:hint="default" w:ascii="Times New Roman" w:hAnsi="Times New Roman" w:eastAsia="仿宋_GB2312" w:cs="Times New Roman"/>
          <w:color w:val="000000" w:themeColor="text1"/>
          <w:spacing w:val="-6"/>
          <w:sz w:val="32"/>
          <w:szCs w:val="32"/>
          <w14:textFill>
            <w14:solidFill>
              <w14:schemeClr w14:val="tx1"/>
            </w14:solidFill>
          </w14:textFill>
        </w:rPr>
        <w:t>月</w:t>
      </w:r>
      <w:r>
        <w:rPr>
          <w:rFonts w:hint="default" w:ascii="Times New Roman" w:hAnsi="Times New Roman" w:eastAsia="仿宋_GB2312" w:cs="Times New Roman"/>
          <w:color w:val="000000" w:themeColor="text1"/>
          <w:spacing w:val="-6"/>
          <w:sz w:val="32"/>
          <w:szCs w:val="32"/>
          <w:lang w:val="en-US" w:eastAsia="zh-CN"/>
          <w14:textFill>
            <w14:solidFill>
              <w14:schemeClr w14:val="tx1"/>
            </w14:solidFill>
          </w14:textFill>
        </w:rPr>
        <w:t>29</w:t>
      </w:r>
      <w:r>
        <w:rPr>
          <w:rFonts w:hint="default" w:ascii="Times New Roman" w:hAnsi="Times New Roman" w:eastAsia="仿宋_GB2312" w:cs="Times New Roman"/>
          <w:color w:val="000000" w:themeColor="text1"/>
          <w:spacing w:val="-6"/>
          <w:sz w:val="32"/>
          <w:szCs w:val="32"/>
          <w14:textFill>
            <w14:solidFill>
              <w14:schemeClr w14:val="tx1"/>
            </w14:solidFill>
          </w14:textFill>
        </w:rPr>
        <w:t>日福建省第十届人民代表大会常务委员会第十八次会议通过的《福建省地方政府规章备案审查规定》、2007年11月30日福建省第十届人民代表大会常务委员会第三十二次会议通过的《福建省各级人民代表大会常务委员会规范性文件备案审查规定》同时废止</w:t>
      </w:r>
      <w:r>
        <w:rPr>
          <w:rFonts w:hint="eastAsia" w:ascii="Times New Roman" w:hAnsi="Times New Roman" w:eastAsia="仿宋_GB2312" w:cs="Times New Roman"/>
          <w:color w:val="000000" w:themeColor="text1"/>
          <w:spacing w:val="-6"/>
          <w:sz w:val="32"/>
          <w:szCs w:val="32"/>
          <w:lang w:eastAsia="zh-CN"/>
          <w14:textFill>
            <w14:solidFill>
              <w14:schemeClr w14:val="tx1"/>
            </w14:solidFill>
          </w14:textFill>
        </w:rPr>
        <w:t>。</w:t>
      </w:r>
      <w:bookmarkStart w:id="0" w:name="_GoBack"/>
      <w:bookmarkEnd w:id="0"/>
    </w:p>
    <w:sectPr>
      <w:headerReference r:id="rId3" w:type="default"/>
      <w:footerReference r:id="rId4" w:type="default"/>
      <w:pgSz w:w="11906" w:h="16838"/>
      <w:pgMar w:top="2098" w:right="1531" w:bottom="2098" w:left="1531" w:header="851" w:footer="1814"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rPr>
        <w:rFonts w:eastAsia="仿宋_GB23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1E9F32"/>
    <w:multiLevelType w:val="singleLevel"/>
    <w:tmpl w:val="5D1E9F32"/>
    <w:lvl w:ilvl="0" w:tentative="0">
      <w:start w:val="1"/>
      <w:numFmt w:val="chineseCounting"/>
      <w:suff w:val="space"/>
      <w:lvlText w:val="第%1章"/>
      <w:lvlJc w:val="left"/>
    </w:lvl>
  </w:abstractNum>
  <w:abstractNum w:abstractNumId="1">
    <w:nsid w:val="5E9055DC"/>
    <w:multiLevelType w:val="singleLevel"/>
    <w:tmpl w:val="5E9055DC"/>
    <w:lvl w:ilvl="0" w:tentative="0">
      <w:start w:val="4"/>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428B"/>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835647"/>
    <w:rsid w:val="01C310FF"/>
    <w:rsid w:val="01E464FE"/>
    <w:rsid w:val="02540FA8"/>
    <w:rsid w:val="02E1024A"/>
    <w:rsid w:val="030B4098"/>
    <w:rsid w:val="03957E50"/>
    <w:rsid w:val="05746320"/>
    <w:rsid w:val="05AF75BB"/>
    <w:rsid w:val="06194D53"/>
    <w:rsid w:val="06EA2843"/>
    <w:rsid w:val="0841276E"/>
    <w:rsid w:val="08985A09"/>
    <w:rsid w:val="08C25AA5"/>
    <w:rsid w:val="0932701E"/>
    <w:rsid w:val="0B516699"/>
    <w:rsid w:val="0B59669C"/>
    <w:rsid w:val="0B7125E9"/>
    <w:rsid w:val="0C7B5D20"/>
    <w:rsid w:val="0CB84F65"/>
    <w:rsid w:val="0DBB27A4"/>
    <w:rsid w:val="10107138"/>
    <w:rsid w:val="10830C5A"/>
    <w:rsid w:val="114C3837"/>
    <w:rsid w:val="13B15C84"/>
    <w:rsid w:val="13DF014B"/>
    <w:rsid w:val="15B468A3"/>
    <w:rsid w:val="17246B45"/>
    <w:rsid w:val="17F24EB6"/>
    <w:rsid w:val="1830602E"/>
    <w:rsid w:val="1CEE4B08"/>
    <w:rsid w:val="1E0E1D25"/>
    <w:rsid w:val="1E34759A"/>
    <w:rsid w:val="1EB31BCD"/>
    <w:rsid w:val="1ED92913"/>
    <w:rsid w:val="20F507DA"/>
    <w:rsid w:val="214C41D3"/>
    <w:rsid w:val="2196632B"/>
    <w:rsid w:val="24C57C84"/>
    <w:rsid w:val="25F609EA"/>
    <w:rsid w:val="26A77F99"/>
    <w:rsid w:val="26AD5782"/>
    <w:rsid w:val="29410693"/>
    <w:rsid w:val="297C13DE"/>
    <w:rsid w:val="2A84732A"/>
    <w:rsid w:val="2AD741C1"/>
    <w:rsid w:val="2BC95769"/>
    <w:rsid w:val="2C07217A"/>
    <w:rsid w:val="2C930896"/>
    <w:rsid w:val="2EA84264"/>
    <w:rsid w:val="308207D2"/>
    <w:rsid w:val="30CA16CF"/>
    <w:rsid w:val="315C72DE"/>
    <w:rsid w:val="33EC68A4"/>
    <w:rsid w:val="346A034C"/>
    <w:rsid w:val="34F92262"/>
    <w:rsid w:val="36700E82"/>
    <w:rsid w:val="39083B2A"/>
    <w:rsid w:val="39111DC8"/>
    <w:rsid w:val="394C5B9B"/>
    <w:rsid w:val="3A1F4717"/>
    <w:rsid w:val="3A3E1F16"/>
    <w:rsid w:val="3A6D40EA"/>
    <w:rsid w:val="3A831C95"/>
    <w:rsid w:val="3B472214"/>
    <w:rsid w:val="3C7E1476"/>
    <w:rsid w:val="3CC11CEF"/>
    <w:rsid w:val="3CE128F4"/>
    <w:rsid w:val="3D21615A"/>
    <w:rsid w:val="3E093B29"/>
    <w:rsid w:val="3E395F9E"/>
    <w:rsid w:val="40C3665B"/>
    <w:rsid w:val="411E3C58"/>
    <w:rsid w:val="41DF37D4"/>
    <w:rsid w:val="42050419"/>
    <w:rsid w:val="42191F4C"/>
    <w:rsid w:val="42C5083D"/>
    <w:rsid w:val="456A5A7A"/>
    <w:rsid w:val="47DC385B"/>
    <w:rsid w:val="49E17A5C"/>
    <w:rsid w:val="4A125077"/>
    <w:rsid w:val="4A8E09C0"/>
    <w:rsid w:val="4C145FFD"/>
    <w:rsid w:val="4C487F35"/>
    <w:rsid w:val="4D4461BC"/>
    <w:rsid w:val="4F685018"/>
    <w:rsid w:val="508D00EC"/>
    <w:rsid w:val="51AD44FC"/>
    <w:rsid w:val="51B6788F"/>
    <w:rsid w:val="5212382C"/>
    <w:rsid w:val="538123AB"/>
    <w:rsid w:val="54AD6688"/>
    <w:rsid w:val="55FF2A4B"/>
    <w:rsid w:val="56EA0CD9"/>
    <w:rsid w:val="577C0D90"/>
    <w:rsid w:val="587E1892"/>
    <w:rsid w:val="58B147F1"/>
    <w:rsid w:val="58DD5928"/>
    <w:rsid w:val="5A2239CF"/>
    <w:rsid w:val="5B045FA4"/>
    <w:rsid w:val="5C5B532D"/>
    <w:rsid w:val="5D4E364C"/>
    <w:rsid w:val="5E156508"/>
    <w:rsid w:val="5FCA38FA"/>
    <w:rsid w:val="61032573"/>
    <w:rsid w:val="61761A88"/>
    <w:rsid w:val="61A77ACD"/>
    <w:rsid w:val="61F719D6"/>
    <w:rsid w:val="621718DC"/>
    <w:rsid w:val="651016B3"/>
    <w:rsid w:val="66241741"/>
    <w:rsid w:val="66CD58AF"/>
    <w:rsid w:val="68902008"/>
    <w:rsid w:val="6A557176"/>
    <w:rsid w:val="6C7B5628"/>
    <w:rsid w:val="6D5C12E0"/>
    <w:rsid w:val="6DE07319"/>
    <w:rsid w:val="6E945F7B"/>
    <w:rsid w:val="6F8068E4"/>
    <w:rsid w:val="6FFB4741"/>
    <w:rsid w:val="708D1E39"/>
    <w:rsid w:val="70BC57E7"/>
    <w:rsid w:val="7125245A"/>
    <w:rsid w:val="71F203BC"/>
    <w:rsid w:val="72006742"/>
    <w:rsid w:val="73C776EF"/>
    <w:rsid w:val="75791684"/>
    <w:rsid w:val="760C613B"/>
    <w:rsid w:val="76756AAB"/>
    <w:rsid w:val="76966A10"/>
    <w:rsid w:val="776F5A52"/>
    <w:rsid w:val="77882E57"/>
    <w:rsid w:val="789150C9"/>
    <w:rsid w:val="7A3E1181"/>
    <w:rsid w:val="7AE71733"/>
    <w:rsid w:val="7BBA7DF5"/>
    <w:rsid w:val="7D1727B7"/>
    <w:rsid w:val="7FF7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qFormat="1" w:uiPriority="99" w:semiHidden="0" w:name="Body Text First Indent 2"/>
    <w:lsdException w:uiPriority="99" w:name="Note Heading"/>
    <w:lsdException w:qFormat="1" w:unhideWhenUsed="0" w:uiPriority="0" w:semiHidden="0" w:name="Body Text 2"/>
    <w:lsdException w:uiPriority="99" w:name="Body Text 3"/>
    <w:lsdException w:qFormat="1" w:uiPriority="99" w:semiHidden="0"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42"/>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23">
    <w:name w:val="Default Paragraph Font"/>
    <w:link w:val="24"/>
    <w:unhideWhenUsed/>
    <w:qFormat/>
    <w:uiPriority w:val="1"/>
    <w:rPr>
      <w:szCs w:val="20"/>
    </w:rPr>
  </w:style>
  <w:style w:type="table" w:default="1" w:styleId="21">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Normal Indent"/>
    <w:basedOn w:val="1"/>
    <w:unhideWhenUsed/>
    <w:qFormat/>
    <w:uiPriority w:val="99"/>
    <w:pPr>
      <w:spacing w:line="500" w:lineRule="exact"/>
      <w:ind w:right="8" w:rightChars="8" w:firstLine="640"/>
    </w:pPr>
    <w:rPr>
      <w:rFonts w:ascii="Calibri" w:hAnsi="Calibri" w:eastAsia="宋体" w:cs="Times New Roman"/>
      <w:kern w:val="0"/>
      <w:sz w:val="24"/>
    </w:rPr>
  </w:style>
  <w:style w:type="paragraph" w:styleId="7">
    <w:name w:val="index 5"/>
    <w:basedOn w:val="1"/>
    <w:next w:val="1"/>
    <w:unhideWhenUsed/>
    <w:qFormat/>
    <w:uiPriority w:val="99"/>
    <w:pPr>
      <w:ind w:left="1680" w:hanging="1680"/>
    </w:pPr>
  </w:style>
  <w:style w:type="paragraph" w:styleId="8">
    <w:name w:val="index 6"/>
    <w:basedOn w:val="1"/>
    <w:next w:val="1"/>
    <w:unhideWhenUsed/>
    <w:qFormat/>
    <w:uiPriority w:val="99"/>
    <w:pPr>
      <w:ind w:left="1000" w:leftChars="1000"/>
    </w:pPr>
  </w:style>
  <w:style w:type="paragraph" w:styleId="9">
    <w:name w:val="Body Text"/>
    <w:basedOn w:val="1"/>
    <w:unhideWhenUsed/>
    <w:qFormat/>
    <w:uiPriority w:val="99"/>
    <w:pPr>
      <w:spacing w:line="360" w:lineRule="auto"/>
    </w:pPr>
    <w:rPr>
      <w:rFonts w:ascii="Calibri" w:hAnsi="Calibri" w:cs="宋体"/>
      <w:sz w:val="24"/>
    </w:rPr>
  </w:style>
  <w:style w:type="paragraph" w:styleId="10">
    <w:name w:val="Body Text Indent"/>
    <w:basedOn w:val="1"/>
    <w:unhideWhenUsed/>
    <w:qFormat/>
    <w:uiPriority w:val="99"/>
    <w:pPr>
      <w:spacing w:after="120"/>
      <w:ind w:left="420" w:leftChars="200"/>
    </w:pPr>
    <w:rPr>
      <w:rFonts w:ascii="Times New Roman" w:hAnsi="Times New Roman" w:eastAsia="宋体" w:cs="Times New Roman"/>
      <w:color w:val="auto"/>
      <w:kern w:val="2"/>
    </w:rPr>
  </w:style>
  <w:style w:type="paragraph" w:styleId="11">
    <w:name w:val="Plain Text"/>
    <w:basedOn w:val="1"/>
    <w:qFormat/>
    <w:uiPriority w:val="0"/>
    <w:pPr>
      <w:topLinePunct w:val="0"/>
      <w:adjustRightInd/>
    </w:pPr>
    <w:rPr>
      <w:rFonts w:ascii="宋体" w:eastAsia="宋体"/>
      <w:sz w:val="21"/>
    </w:rPr>
  </w:style>
  <w:style w:type="paragraph" w:styleId="12">
    <w:name w:val="Date"/>
    <w:basedOn w:val="1"/>
    <w:next w:val="1"/>
    <w:link w:val="32"/>
    <w:unhideWhenUsed/>
    <w:qFormat/>
    <w:uiPriority w:val="0"/>
    <w:pPr>
      <w:ind w:left="100" w:leftChars="2500"/>
    </w:pPr>
  </w:style>
  <w:style w:type="paragraph" w:styleId="13">
    <w:name w:val="Body Text Indent 2"/>
    <w:basedOn w:val="1"/>
    <w:unhideWhenUsed/>
    <w:qFormat/>
    <w:uiPriority w:val="99"/>
    <w:pPr>
      <w:spacing w:after="120" w:line="480" w:lineRule="auto"/>
      <w:ind w:left="420" w:leftChars="200"/>
    </w:pPr>
    <w:rPr>
      <w:rFonts w:ascii="Times New Roman" w:hAnsi="Times New Roman" w:eastAsia="宋体" w:cs="Times New Roman"/>
      <w:color w:val="auto"/>
      <w:kern w:val="2"/>
    </w:rPr>
  </w:style>
  <w:style w:type="paragraph" w:styleId="14">
    <w:name w:val="Balloon Text"/>
    <w:basedOn w:val="1"/>
    <w:link w:val="34"/>
    <w:semiHidden/>
    <w:qFormat/>
    <w:uiPriority w:val="0"/>
    <w:rPr>
      <w:rFonts w:ascii="宋体" w:hAnsi="宋体" w:eastAsia="宋体" w:cstheme="minorBidi"/>
      <w:sz w:val="18"/>
      <w:szCs w:val="18"/>
    </w:rPr>
  </w:style>
  <w:style w:type="paragraph" w:styleId="15">
    <w:name w:val="footer"/>
    <w:basedOn w:val="1"/>
    <w:link w:val="29"/>
    <w:unhideWhenUsed/>
    <w:qFormat/>
    <w:uiPriority w:val="99"/>
    <w:pPr>
      <w:tabs>
        <w:tab w:val="center" w:pos="4153"/>
        <w:tab w:val="right" w:pos="8306"/>
      </w:tabs>
      <w:snapToGrid w:val="0"/>
      <w:jc w:val="left"/>
    </w:pPr>
    <w:rPr>
      <w:sz w:val="18"/>
      <w:szCs w:val="18"/>
    </w:rPr>
  </w:style>
  <w:style w:type="paragraph" w:styleId="16">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Body Text Indent 3"/>
    <w:basedOn w:val="1"/>
    <w:unhideWhenUsed/>
    <w:qFormat/>
    <w:uiPriority w:val="99"/>
    <w:pPr>
      <w:spacing w:after="120"/>
      <w:ind w:left="420" w:leftChars="200"/>
    </w:pPr>
    <w:rPr>
      <w:rFonts w:ascii="Times New Roman" w:hAnsi="Times New Roman" w:eastAsia="宋体" w:cs="Times New Roman"/>
      <w:color w:val="auto"/>
      <w:kern w:val="2"/>
      <w:sz w:val="16"/>
      <w:szCs w:val="16"/>
    </w:rPr>
  </w:style>
  <w:style w:type="paragraph" w:styleId="18">
    <w:name w:val="Body Text 2"/>
    <w:basedOn w:val="1"/>
    <w:link w:val="36"/>
    <w:qFormat/>
    <w:uiPriority w:val="0"/>
    <w:pPr>
      <w:jc w:val="center"/>
    </w:pPr>
    <w:rPr>
      <w:rFonts w:eastAsia="宋体"/>
      <w:b/>
      <w:bCs/>
      <w:sz w:val="44"/>
      <w:szCs w:val="24"/>
    </w:rPr>
  </w:style>
  <w:style w:type="paragraph" w:styleId="19">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20">
    <w:name w:val="Body Text First Indent 2"/>
    <w:basedOn w:val="10"/>
    <w:unhideWhenUsed/>
    <w:qFormat/>
    <w:uiPriority w:val="99"/>
    <w:pPr>
      <w:ind w:firstLine="420" w:firstLineChars="200"/>
    </w:pPr>
  </w:style>
  <w:style w:type="table" w:styleId="22">
    <w:name w:val="Table Grid"/>
    <w:basedOn w:val="21"/>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4">
    <w:name w:val=" Char"/>
    <w:basedOn w:val="1"/>
    <w:link w:val="23"/>
    <w:qFormat/>
    <w:uiPriority w:val="0"/>
    <w:rPr>
      <w:szCs w:val="20"/>
    </w:rPr>
  </w:style>
  <w:style w:type="character" w:styleId="25">
    <w:name w:val="Strong"/>
    <w:basedOn w:val="23"/>
    <w:qFormat/>
    <w:uiPriority w:val="22"/>
    <w:rPr>
      <w:bCs/>
    </w:rPr>
  </w:style>
  <w:style w:type="character" w:styleId="26">
    <w:name w:val="Hyperlink"/>
    <w:basedOn w:val="23"/>
    <w:unhideWhenUsed/>
    <w:qFormat/>
    <w:uiPriority w:val="99"/>
    <w:rPr>
      <w:color w:val="0000FF"/>
      <w:u w:val="single"/>
    </w:rPr>
  </w:style>
  <w:style w:type="paragraph" w:customStyle="1" w:styleId="27">
    <w:name w:val="Char Char Char Char Char Char Char Char Char Char Char Char1 Char Char Char Char Char Char Char Char Char Char Char Char Char Char Char Char Char Char Char"/>
    <w:basedOn w:val="1"/>
    <w:link w:val="23"/>
    <w:qFormat/>
    <w:uiPriority w:val="0"/>
    <w:pPr>
      <w:widowControl/>
      <w:spacing w:after="160" w:line="240" w:lineRule="exact"/>
      <w:jc w:val="left"/>
    </w:pPr>
    <w:rPr>
      <w:rFonts w:ascii="Arial" w:hAnsi="Arial" w:eastAsia="Times New Roman" w:cs="Verdana"/>
      <w:b/>
      <w:kern w:val="0"/>
      <w:sz w:val="24"/>
      <w:szCs w:val="20"/>
      <w:lang w:eastAsia="en-US"/>
    </w:rPr>
  </w:style>
  <w:style w:type="character" w:customStyle="1" w:styleId="28">
    <w:name w:val="页眉 Char"/>
    <w:basedOn w:val="23"/>
    <w:link w:val="16"/>
    <w:semiHidden/>
    <w:qFormat/>
    <w:uiPriority w:val="99"/>
    <w:rPr>
      <w:sz w:val="18"/>
      <w:szCs w:val="18"/>
    </w:rPr>
  </w:style>
  <w:style w:type="character" w:customStyle="1" w:styleId="29">
    <w:name w:val="页脚 Char"/>
    <w:basedOn w:val="23"/>
    <w:link w:val="15"/>
    <w:qFormat/>
    <w:uiPriority w:val="99"/>
    <w:rPr>
      <w:sz w:val="18"/>
      <w:szCs w:val="18"/>
    </w:rPr>
  </w:style>
  <w:style w:type="paragraph" w:customStyle="1" w:styleId="30">
    <w:name w:val="p19"/>
    <w:basedOn w:val="1"/>
    <w:next w:val="8"/>
    <w:qFormat/>
    <w:uiPriority w:val="0"/>
    <w:pPr>
      <w:widowControl/>
    </w:pPr>
    <w:rPr>
      <w:rFonts w:eastAsia="宋体"/>
      <w:kern w:val="0"/>
      <w:sz w:val="21"/>
    </w:rPr>
  </w:style>
  <w:style w:type="paragraph" w:customStyle="1" w:styleId="31">
    <w:name w:val="Char"/>
    <w:basedOn w:val="1"/>
    <w:qFormat/>
    <w:uiPriority w:val="0"/>
    <w:pPr>
      <w:widowControl/>
      <w:spacing w:line="360" w:lineRule="auto"/>
      <w:jc w:val="left"/>
    </w:pPr>
  </w:style>
  <w:style w:type="character" w:customStyle="1" w:styleId="32">
    <w:name w:val="日期 Char"/>
    <w:basedOn w:val="23"/>
    <w:link w:val="12"/>
    <w:semiHidden/>
    <w:qFormat/>
    <w:uiPriority w:val="99"/>
    <w:rPr>
      <w:rFonts w:ascii="Times New Roman" w:hAnsi="Times New Roman" w:eastAsia="仿宋_GB2312" w:cs="Times New Roman"/>
      <w:sz w:val="32"/>
      <w:szCs w:val="20"/>
    </w:rPr>
  </w:style>
  <w:style w:type="character" w:customStyle="1" w:styleId="33">
    <w:name w:val="批注框文本 Char"/>
    <w:basedOn w:val="23"/>
    <w:link w:val="14"/>
    <w:semiHidden/>
    <w:qFormat/>
    <w:locked/>
    <w:uiPriority w:val="0"/>
    <w:rPr>
      <w:rFonts w:ascii="宋体" w:hAnsi="宋体" w:eastAsia="宋体"/>
      <w:sz w:val="18"/>
      <w:szCs w:val="18"/>
    </w:rPr>
  </w:style>
  <w:style w:type="character" w:customStyle="1" w:styleId="34">
    <w:name w:val="批注框文本 Char1"/>
    <w:basedOn w:val="23"/>
    <w:link w:val="14"/>
    <w:semiHidden/>
    <w:qFormat/>
    <w:uiPriority w:val="99"/>
    <w:rPr>
      <w:rFonts w:ascii="Times New Roman" w:hAnsi="Times New Roman" w:eastAsia="仿宋_GB2312" w:cs="Times New Roman"/>
      <w:sz w:val="18"/>
      <w:szCs w:val="18"/>
    </w:rPr>
  </w:style>
  <w:style w:type="character" w:customStyle="1" w:styleId="35">
    <w:name w:val="normal105"/>
    <w:basedOn w:val="23"/>
    <w:qFormat/>
    <w:uiPriority w:val="0"/>
    <w:rPr>
      <w:rFonts w:hint="default" w:ascii="Times New Roman" w:hAnsi="Times New Roman" w:eastAsia="宋体" w:cs="Times New Roman"/>
    </w:rPr>
  </w:style>
  <w:style w:type="character" w:customStyle="1" w:styleId="36">
    <w:name w:val="正文文本 2 Char"/>
    <w:basedOn w:val="23"/>
    <w:link w:val="18"/>
    <w:qFormat/>
    <w:uiPriority w:val="0"/>
    <w:rPr>
      <w:rFonts w:ascii="Times New Roman" w:hAnsi="Times New Roman" w:eastAsia="宋体" w:cs="Times New Roman"/>
      <w:bCs/>
      <w:sz w:val="44"/>
      <w:szCs w:val="24"/>
    </w:rPr>
  </w:style>
  <w:style w:type="paragraph" w:customStyle="1" w:styleId="37">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8">
    <w:name w:val="p0"/>
    <w:basedOn w:val="1"/>
    <w:qFormat/>
    <w:uiPriority w:val="0"/>
    <w:pPr>
      <w:widowControl/>
    </w:pPr>
    <w:rPr>
      <w:rFonts w:eastAsia="宋体"/>
      <w:kern w:val="0"/>
      <w:sz w:val="21"/>
      <w:szCs w:val="21"/>
    </w:rPr>
  </w:style>
  <w:style w:type="paragraph" w:customStyle="1" w:styleId="39">
    <w:name w:val="正文 + (中文) 仿宋_GB2312"/>
    <w:basedOn w:val="1"/>
    <w:qFormat/>
    <w:uiPriority w:val="0"/>
    <w:rPr>
      <w:b/>
    </w:rPr>
  </w:style>
  <w:style w:type="character" w:customStyle="1" w:styleId="40">
    <w:name w:val="15"/>
    <w:basedOn w:val="23"/>
    <w:qFormat/>
    <w:uiPriority w:val="0"/>
    <w:rPr>
      <w:rFonts w:hint="default" w:ascii="Times New Roman" w:hAnsi="Times New Roman" w:cs="Times New Roman"/>
      <w:bCs/>
    </w:rPr>
  </w:style>
  <w:style w:type="paragraph" w:customStyle="1" w:styleId="41">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42">
    <w:name w:val="标题 2 Char"/>
    <w:basedOn w:val="23"/>
    <w:link w:val="4"/>
    <w:qFormat/>
    <w:uiPriority w:val="0"/>
    <w:rPr>
      <w:rFonts w:ascii="Arial" w:hAnsi="Arial" w:eastAsia="黑体"/>
      <w:b/>
      <w:bCs/>
      <w:sz w:val="32"/>
      <w:szCs w:val="32"/>
    </w:rPr>
  </w:style>
  <w:style w:type="character" w:customStyle="1" w:styleId="43">
    <w:name w:val="CharAttribute0"/>
    <w:qFormat/>
    <w:uiPriority w:val="0"/>
    <w:rPr>
      <w:rFonts w:ascii="Times New Roman" w:eastAsia="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43</TotalTime>
  <ScaleCrop>false</ScaleCrop>
  <LinksUpToDate>false</LinksUpToDate>
  <CharactersWithSpaces>28702</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2020-08-07T07:39:00Z</cp:lastPrinted>
  <dcterms:modified xsi:type="dcterms:W3CDTF">2020-08-10T07:53:28Z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