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60" w:beforeLines="200" w:afterLines="0" w:line="620" w:lineRule="exact"/>
        <w:ind w:left="0" w:leftChars="0" w:right="0" w:rightChars="0" w:firstLine="0" w:firstLineChars="0"/>
        <w:jc w:val="center"/>
        <w:textAlignment w:val="auto"/>
        <w:outlineLvl w:val="0"/>
      </w:pPr>
      <w:r>
        <w:rPr>
          <w:rFonts w:hint="eastAsia"/>
        </w:rPr>
        <w:t>福建省基本农田保护条例</w:t>
      </w:r>
    </w:p>
    <w:p>
      <w:pPr>
        <w:pStyle w:val="4"/>
        <w:spacing w:before="579"/>
        <w:rPr>
          <w:rFonts w:hint="eastAsia" w:ascii="楷体_GB2312" w:hAnsi="楷体_GB2312" w:eastAsia="楷体_GB2312" w:cs="楷体_GB2312"/>
        </w:rPr>
      </w:pPr>
      <w:r>
        <w:rPr>
          <w:rFonts w:hint="eastAsia" w:ascii="楷体_GB2312" w:hAnsi="楷体_GB2312" w:eastAsia="楷体_GB2312" w:cs="楷体_GB2312"/>
        </w:rPr>
        <w:t>（1994年9月16日福建省第八届人民代表大会常务委员会第十二次会议审议通过</w:t>
      </w:r>
      <w:r>
        <w:rPr>
          <w:rFonts w:hint="eastAsia" w:ascii="楷体_GB2312" w:hAnsi="楷体_GB2312" w:cs="楷体_GB2312"/>
          <w:lang w:val="en-US" w:eastAsia="zh-CN"/>
        </w:rPr>
        <w:t xml:space="preserve">  </w:t>
      </w:r>
      <w:r>
        <w:rPr>
          <w:rFonts w:hint="eastAsia" w:ascii="楷体_GB2312" w:hAnsi="楷体_GB2312" w:eastAsia="楷体_GB2312" w:cs="楷体_GB2312"/>
        </w:rPr>
        <w:t>1997年10月25日福建省第八届人民代表大会常务委员会第三十五次会议第一次修订</w:t>
      </w:r>
      <w:r>
        <w:rPr>
          <w:rFonts w:hint="eastAsia" w:ascii="楷体_GB2312" w:hAnsi="楷体_GB2312" w:cs="楷体_GB2312"/>
          <w:lang w:val="en-US" w:eastAsia="zh-CN"/>
        </w:rPr>
        <w:t xml:space="preserve">  </w:t>
      </w:r>
      <w:r>
        <w:rPr>
          <w:rFonts w:hint="eastAsia" w:ascii="楷体_GB2312" w:hAnsi="楷体_GB2312" w:eastAsia="楷体_GB2312" w:cs="楷体_GB2312"/>
        </w:rPr>
        <w:t>2001年11月14日福建省第九届人民代表大会常务委员会第二十九次会议第二次修订</w:t>
      </w:r>
      <w:r>
        <w:rPr>
          <w:rFonts w:hint="eastAsia" w:ascii="楷体_GB2312" w:hAnsi="楷体_GB2312" w:cs="楷体_GB2312"/>
          <w:lang w:val="en-US" w:eastAsia="zh-CN"/>
        </w:rPr>
        <w:t xml:space="preserve">  根据2010年7月30日福建省第十一届人民代表大会常务委员会第十六次会议通过的《福建省人民代表大常务委员会关于修改部分地方性法规的决定》修改</w:t>
      </w:r>
      <w:r>
        <w:rPr>
          <w:rFonts w:hint="eastAsia" w:ascii="楷体_GB2312" w:hAnsi="楷体_GB2312" w:eastAsia="楷体_GB2312" w:cs="楷体_GB2312"/>
        </w:rPr>
        <w:t>）</w:t>
      </w:r>
    </w:p>
    <w:p>
      <w:pPr>
        <w:pStyle w:val="3"/>
        <w:spacing w:before="579" w:after="579"/>
        <w:ind w:firstLine="632"/>
      </w:pPr>
      <w:r>
        <w:rPr>
          <w:rFonts w:hint="eastAsia"/>
        </w:rPr>
        <w:t>第一</w:t>
      </w:r>
      <w:r>
        <w:rPr>
          <w:rFonts w:hint="eastAsia" w:eastAsia="黑体"/>
          <w:lang w:eastAsia="zh-CN"/>
        </w:rPr>
        <w:t xml:space="preserve">章  </w:t>
      </w:r>
      <w:r>
        <w:rPr>
          <w:rFonts w:hint="eastAsia"/>
        </w:rPr>
        <w:t>总则</w:t>
      </w:r>
    </w:p>
    <w:p>
      <w:pPr>
        <w:ind w:firstLine="632"/>
        <w:rPr>
          <w:rFonts w:eastAsia="黑体"/>
        </w:rPr>
      </w:pPr>
      <w:r>
        <w:rPr>
          <w:rFonts w:hint="eastAsia" w:eastAsia="黑体"/>
        </w:rPr>
        <w:t>第一</w:t>
      </w:r>
      <w:r>
        <w:rPr>
          <w:rFonts w:hint="eastAsia" w:eastAsia="黑体"/>
          <w:lang w:eastAsia="zh-CN"/>
        </w:rPr>
        <w:t xml:space="preserve">条  </w:t>
      </w:r>
      <w:r>
        <w:rPr>
          <w:rFonts w:hint="eastAsia"/>
        </w:rPr>
        <w:t>为了对基本农田实行特殊保护，稳定耕地面积，促进农业生产和国民经济发展，根据《中华人民共和国农业法》、《中华人民共和国土地管理法》和国务院《基本农田保护条例》等有关法律法规，结合本省实际，制定本条例。</w:t>
      </w:r>
    </w:p>
    <w:p>
      <w:pPr>
        <w:ind w:firstLine="632"/>
      </w:pPr>
      <w:r>
        <w:rPr>
          <w:rFonts w:hint="eastAsia" w:eastAsia="黑体"/>
        </w:rPr>
        <w:t>第二</w:t>
      </w:r>
      <w:r>
        <w:rPr>
          <w:rFonts w:hint="eastAsia" w:eastAsia="黑体"/>
          <w:lang w:eastAsia="zh-CN"/>
        </w:rPr>
        <w:t xml:space="preserve">条  </w:t>
      </w:r>
      <w:r>
        <w:rPr>
          <w:rFonts w:hint="eastAsia"/>
        </w:rPr>
        <w:t>本条例所称基本农田，是指根据本省国民经济和社会发展对主要农产品的需求，以及对建设用地的预测而确定的、长期不得占用或者基本农田保护区规划期内不得占用的耕地。</w:t>
      </w:r>
    </w:p>
    <w:p>
      <w:pPr>
        <w:ind w:firstLine="632"/>
        <w:rPr>
          <w:rFonts w:eastAsia="黑体"/>
        </w:rPr>
      </w:pPr>
      <w:r>
        <w:rPr>
          <w:rFonts w:hint="eastAsia"/>
        </w:rPr>
        <w:t>本条例所称基本农田保护区，是指对基本农田实行特殊保护而依照法定程序划定的区域。</w:t>
      </w:r>
    </w:p>
    <w:p>
      <w:pPr>
        <w:ind w:firstLine="632"/>
        <w:rPr>
          <w:rFonts w:eastAsia="黑体"/>
        </w:rPr>
      </w:pPr>
      <w:r>
        <w:rPr>
          <w:rFonts w:hint="eastAsia" w:eastAsia="黑体"/>
        </w:rPr>
        <w:t>第三</w:t>
      </w:r>
      <w:r>
        <w:rPr>
          <w:rFonts w:hint="eastAsia" w:eastAsia="黑体"/>
          <w:lang w:eastAsia="zh-CN"/>
        </w:rPr>
        <w:t xml:space="preserve">条  </w:t>
      </w:r>
      <w:r>
        <w:rPr>
          <w:rFonts w:hint="eastAsia"/>
        </w:rPr>
        <w:t>本条例适用于本省行政区域内基本农田保护区的划定、保护和监督管理。</w:t>
      </w:r>
    </w:p>
    <w:p>
      <w:pPr>
        <w:ind w:firstLine="632"/>
        <w:rPr>
          <w:rFonts w:eastAsia="黑体"/>
        </w:rPr>
      </w:pPr>
      <w:r>
        <w:rPr>
          <w:rFonts w:hint="eastAsia" w:eastAsia="黑体"/>
        </w:rPr>
        <w:t>第四</w:t>
      </w:r>
      <w:r>
        <w:rPr>
          <w:rFonts w:hint="eastAsia" w:eastAsia="黑体"/>
          <w:lang w:eastAsia="zh-CN"/>
        </w:rPr>
        <w:t xml:space="preserve">条  </w:t>
      </w:r>
      <w:r>
        <w:rPr>
          <w:rFonts w:hint="eastAsia"/>
        </w:rPr>
        <w:t>划定基本农田应当根据土地利用总体规划，并与城市总体规划、村庄和集镇规划相衔接。</w:t>
      </w:r>
    </w:p>
    <w:p>
      <w:pPr>
        <w:ind w:firstLine="632"/>
        <w:rPr>
          <w:rFonts w:eastAsia="黑体"/>
        </w:rPr>
      </w:pPr>
      <w:r>
        <w:rPr>
          <w:rFonts w:hint="eastAsia" w:eastAsia="黑体"/>
        </w:rPr>
        <w:t>第五</w:t>
      </w:r>
      <w:r>
        <w:rPr>
          <w:rFonts w:hint="eastAsia" w:eastAsia="黑体"/>
          <w:lang w:eastAsia="zh-CN"/>
        </w:rPr>
        <w:t xml:space="preserve">条  </w:t>
      </w:r>
      <w:r>
        <w:rPr>
          <w:rFonts w:hint="eastAsia"/>
        </w:rPr>
        <w:t>地方各级人民政府应当将基本农田保护工作纳入国民经济和社会发展计划，列入本级人民政府的目标管理，作为本级人民政府领导任期目标责任制的重要内容，由上一级人民政府监督实施。</w:t>
      </w:r>
    </w:p>
    <w:p>
      <w:pPr>
        <w:ind w:firstLine="632"/>
      </w:pPr>
      <w:r>
        <w:rPr>
          <w:rFonts w:hint="eastAsia" w:eastAsia="黑体"/>
        </w:rPr>
        <w:t>第六</w:t>
      </w:r>
      <w:r>
        <w:rPr>
          <w:rFonts w:hint="eastAsia" w:eastAsia="黑体"/>
          <w:lang w:eastAsia="zh-CN"/>
        </w:rPr>
        <w:t xml:space="preserve">条  </w:t>
      </w:r>
      <w:r>
        <w:rPr>
          <w:rFonts w:hint="eastAsia"/>
        </w:rPr>
        <w:t>县级以上地方人民政府土地行政主管部门和农业行政主管部门按照职责分工，依据本条例规定，负责本行政区域内基本农田的保护、管理工作。</w:t>
      </w:r>
    </w:p>
    <w:p>
      <w:pPr>
        <w:ind w:firstLine="632"/>
        <w:rPr>
          <w:rFonts w:eastAsia="黑体"/>
        </w:rPr>
      </w:pPr>
      <w:r>
        <w:rPr>
          <w:rFonts w:hint="eastAsia"/>
        </w:rPr>
        <w:t>乡级人民政府负责本行政区域内基本农田的保护、管理工作。</w:t>
      </w:r>
    </w:p>
    <w:p>
      <w:pPr>
        <w:ind w:firstLine="632"/>
      </w:pPr>
      <w:r>
        <w:rPr>
          <w:rFonts w:hint="eastAsia" w:eastAsia="黑体"/>
        </w:rPr>
        <w:t>第七</w:t>
      </w:r>
      <w:r>
        <w:rPr>
          <w:rFonts w:hint="eastAsia" w:eastAsia="黑体"/>
          <w:lang w:eastAsia="zh-CN"/>
        </w:rPr>
        <w:t xml:space="preserve">条  </w:t>
      </w:r>
      <w:r>
        <w:rPr>
          <w:rFonts w:hint="eastAsia"/>
        </w:rPr>
        <w:t>地方各级人民政府对在基本农田保护工作中取得显著成绩的单位和个人，应当给予奖励。</w:t>
      </w:r>
    </w:p>
    <w:p>
      <w:pPr>
        <w:pStyle w:val="3"/>
        <w:spacing w:before="579" w:after="579"/>
        <w:ind w:firstLine="632"/>
      </w:pPr>
      <w:r>
        <w:rPr>
          <w:rFonts w:hint="eastAsia"/>
        </w:rPr>
        <w:t>第二</w:t>
      </w:r>
      <w:r>
        <w:rPr>
          <w:rFonts w:hint="eastAsia" w:eastAsia="黑体"/>
          <w:lang w:eastAsia="zh-CN"/>
        </w:rPr>
        <w:t xml:space="preserve">章  </w:t>
      </w:r>
      <w:r>
        <w:rPr>
          <w:rFonts w:hint="eastAsia"/>
        </w:rPr>
        <w:t>基本农田保护区的划定</w:t>
      </w:r>
    </w:p>
    <w:p>
      <w:pPr>
        <w:ind w:firstLine="632"/>
        <w:rPr>
          <w:rFonts w:eastAsia="黑体"/>
        </w:rPr>
      </w:pPr>
      <w:r>
        <w:rPr>
          <w:rFonts w:hint="eastAsia" w:eastAsia="黑体"/>
        </w:rPr>
        <w:t>第八</w:t>
      </w:r>
      <w:r>
        <w:rPr>
          <w:rFonts w:hint="eastAsia" w:eastAsia="黑体"/>
          <w:lang w:eastAsia="zh-CN"/>
        </w:rPr>
        <w:t xml:space="preserve">条  </w:t>
      </w:r>
      <w:r>
        <w:rPr>
          <w:rFonts w:hint="eastAsia"/>
        </w:rPr>
        <w:t>全省基本农田保护区面积应当不低于耕地总面积的百分之八十五。具体保护面积指标由省人民政府根据全国土地利用总体规划确定的耕地保有总量逐级分解下达至乡（镇）。</w:t>
      </w:r>
    </w:p>
    <w:p>
      <w:pPr>
        <w:ind w:firstLine="632"/>
      </w:pPr>
      <w:r>
        <w:rPr>
          <w:rFonts w:hint="eastAsia" w:eastAsia="黑体"/>
        </w:rPr>
        <w:t>第九</w:t>
      </w:r>
      <w:r>
        <w:rPr>
          <w:rFonts w:hint="eastAsia" w:eastAsia="黑体"/>
          <w:lang w:eastAsia="zh-CN"/>
        </w:rPr>
        <w:t xml:space="preserve">条  </w:t>
      </w:r>
      <w:r>
        <w:rPr>
          <w:rFonts w:hint="eastAsia"/>
        </w:rPr>
        <w:t>下列耕地应当划入基本农田保护区:</w:t>
      </w:r>
    </w:p>
    <w:p>
      <w:pPr>
        <w:ind w:firstLine="632"/>
      </w:pPr>
      <w:r>
        <w:rPr>
          <w:rFonts w:hint="eastAsia"/>
        </w:rPr>
        <w:t>（一）经国务院有关主管部门或者县级以上地方人民政府批准确定的粮、油、糖和其他需要保护的农产品生产基地内的耕地</w:t>
      </w:r>
      <w:r>
        <w:rPr>
          <w:rFonts w:hint="eastAsia"/>
          <w:lang w:eastAsia="zh-CN"/>
        </w:rPr>
        <w:t>；</w:t>
      </w:r>
    </w:p>
    <w:p>
      <w:pPr>
        <w:ind w:firstLine="632"/>
      </w:pPr>
      <w:r>
        <w:rPr>
          <w:rFonts w:hint="eastAsia"/>
        </w:rPr>
        <w:t>（二）有良好的水利与水土保持设施的耕地，正在实施改造计划以及可以改造的中、低产田</w:t>
      </w:r>
      <w:r>
        <w:rPr>
          <w:rFonts w:hint="eastAsia"/>
          <w:lang w:eastAsia="zh-CN"/>
        </w:rPr>
        <w:t>；</w:t>
      </w:r>
    </w:p>
    <w:p>
      <w:pPr>
        <w:ind w:firstLine="632"/>
      </w:pPr>
      <w:r>
        <w:rPr>
          <w:rFonts w:hint="eastAsia"/>
        </w:rPr>
        <w:t>（三）蔬菜生产基地</w:t>
      </w:r>
      <w:r>
        <w:rPr>
          <w:rFonts w:hint="eastAsia"/>
          <w:lang w:eastAsia="zh-CN"/>
        </w:rPr>
        <w:t>；</w:t>
      </w:r>
    </w:p>
    <w:p>
      <w:pPr>
        <w:ind w:firstLine="632"/>
      </w:pPr>
      <w:r>
        <w:rPr>
          <w:rFonts w:hint="eastAsia"/>
        </w:rPr>
        <w:t>（四）农业科研、教学试验田和良种繁育基地。</w:t>
      </w:r>
    </w:p>
    <w:p>
      <w:pPr>
        <w:ind w:firstLine="632"/>
        <w:rPr>
          <w:rFonts w:eastAsia="黑体"/>
        </w:rPr>
      </w:pPr>
      <w:r>
        <w:rPr>
          <w:rFonts w:hint="eastAsia"/>
        </w:rPr>
        <w:t>根据土地利用总体规划以及城市总体规划、村庄和集镇规划，铁路、公路等交通沿线两侧，城市和村庄、集镇建设用地区周边连片的耕地，应当优先划入基本农田保护区。</w:t>
      </w:r>
    </w:p>
    <w:p>
      <w:pPr>
        <w:ind w:firstLine="632"/>
      </w:pPr>
      <w:r>
        <w:rPr>
          <w:rFonts w:hint="eastAsia" w:eastAsia="黑体"/>
        </w:rPr>
        <w:t>第十</w:t>
      </w:r>
      <w:r>
        <w:rPr>
          <w:rFonts w:hint="eastAsia" w:eastAsia="黑体"/>
          <w:lang w:eastAsia="zh-CN"/>
        </w:rPr>
        <w:t xml:space="preserve">条  </w:t>
      </w:r>
      <w:r>
        <w:rPr>
          <w:rFonts w:hint="eastAsia"/>
        </w:rPr>
        <w:t>划入基本农田保护区的耕地面积未达到上级人民政府下达保护面积指标的，可根据实际情况将下列农用地划入补足</w:t>
      </w:r>
      <w:r>
        <w:rPr>
          <w:rFonts w:hint="eastAsia"/>
          <w:lang w:eastAsia="zh-CN"/>
        </w:rPr>
        <w:t>：</w:t>
      </w:r>
    </w:p>
    <w:p>
      <w:pPr>
        <w:ind w:firstLine="632"/>
      </w:pPr>
      <w:r>
        <w:rPr>
          <w:rFonts w:hint="eastAsia"/>
        </w:rPr>
        <w:t>（一）原来是耕地，农业结构调整改种经济作物，在土地利用总体规划期内可以还耕的园地</w:t>
      </w:r>
      <w:r>
        <w:rPr>
          <w:rFonts w:hint="eastAsia"/>
          <w:lang w:eastAsia="zh-CN"/>
        </w:rPr>
        <w:t>；</w:t>
      </w:r>
    </w:p>
    <w:p>
      <w:pPr>
        <w:ind w:firstLine="632"/>
      </w:pPr>
      <w:r>
        <w:rPr>
          <w:rFonts w:hint="eastAsia"/>
        </w:rPr>
        <w:t>（二）原来是耕地，农业结构调整改为养殖池，耕作层未被破坏，在土地利用总体规划期内可以还耕的土质养殖池；</w:t>
      </w:r>
    </w:p>
    <w:p>
      <w:pPr>
        <w:ind w:firstLine="632"/>
      </w:pPr>
      <w:r>
        <w:rPr>
          <w:rFonts w:hint="eastAsia"/>
        </w:rPr>
        <w:t>（三）集中连片两公顷以上、水利设施条件及土地肥力较好的新开发耕地。</w:t>
      </w:r>
    </w:p>
    <w:p>
      <w:pPr>
        <w:ind w:firstLine="632"/>
        <w:rPr>
          <w:rFonts w:eastAsia="黑体"/>
        </w:rPr>
      </w:pPr>
      <w:r>
        <w:rPr>
          <w:rFonts w:hint="eastAsia"/>
        </w:rPr>
        <w:t>不具备耕作条件的土地不得划入基本农田保护区。</w:t>
      </w:r>
    </w:p>
    <w:p>
      <w:pPr>
        <w:ind w:firstLine="632"/>
      </w:pPr>
      <w:r>
        <w:rPr>
          <w:rFonts w:hint="eastAsia" w:eastAsia="黑体"/>
        </w:rPr>
        <w:t>第十一</w:t>
      </w:r>
      <w:r>
        <w:rPr>
          <w:rFonts w:hint="eastAsia" w:eastAsia="黑体"/>
          <w:lang w:eastAsia="zh-CN"/>
        </w:rPr>
        <w:t xml:space="preserve">条  </w:t>
      </w:r>
      <w:r>
        <w:rPr>
          <w:rFonts w:hint="eastAsia"/>
        </w:rPr>
        <w:t>基本农田保护区的划定程序为</w:t>
      </w:r>
      <w:r>
        <w:rPr>
          <w:rFonts w:hint="eastAsia"/>
          <w:lang w:eastAsia="zh-CN"/>
        </w:rPr>
        <w:t>：</w:t>
      </w:r>
    </w:p>
    <w:p>
      <w:pPr>
        <w:ind w:firstLine="632"/>
      </w:pPr>
      <w:r>
        <w:rPr>
          <w:rFonts w:hint="eastAsia"/>
        </w:rPr>
        <w:t>（一）县级人民政府土地行政主管部门和农业行政主管部门根据上级下达的基本农田面积指标，会同其他有关部门编制本行政区域内的基本农田保护区规划方案，经县级人民政府审定，报设区的市人民政府批准后组织实施</w:t>
      </w:r>
      <w:r>
        <w:rPr>
          <w:rFonts w:hint="eastAsia"/>
          <w:lang w:eastAsia="zh-CN"/>
        </w:rPr>
        <w:t>；</w:t>
      </w:r>
    </w:p>
    <w:p>
      <w:pPr>
        <w:ind w:firstLine="632"/>
      </w:pPr>
      <w:r>
        <w:rPr>
          <w:rFonts w:hint="eastAsia"/>
        </w:rPr>
        <w:t>（二）乡（镇）人民政府根据县级人民政府下达的基本农田保护面积指标，按行政村划定保护面积，并绘制基本农田平面图和乡（镇）基本农田保护区分布图；</w:t>
      </w:r>
    </w:p>
    <w:p>
      <w:pPr>
        <w:ind w:firstLine="632"/>
      </w:pPr>
      <w:r>
        <w:rPr>
          <w:rFonts w:hint="eastAsia"/>
        </w:rPr>
        <w:t>（三）乡（镇）基本农田保护区划定后，由县级人民政府土地行政主管部门会同农业等行政主管部门审核、汇总，绘制县级基本农田保护区分布图</w:t>
      </w:r>
      <w:r>
        <w:rPr>
          <w:rFonts w:hint="eastAsia"/>
          <w:lang w:eastAsia="zh-CN"/>
        </w:rPr>
        <w:t>；</w:t>
      </w:r>
    </w:p>
    <w:p>
      <w:pPr>
        <w:ind w:firstLine="632"/>
      </w:pPr>
      <w:r>
        <w:rPr>
          <w:rFonts w:hint="eastAsia"/>
        </w:rPr>
        <w:t>（四）县级人民政府应当将下列资料逐级上报省人民政府土地行政主管部门和农业行政主管部门验收、确认:</w:t>
      </w:r>
    </w:p>
    <w:p>
      <w:pPr>
        <w:ind w:firstLine="632"/>
      </w:pPr>
      <w:r>
        <w:rPr>
          <w:rFonts w:hint="eastAsia"/>
        </w:rPr>
        <w:t>1</w:t>
      </w:r>
      <w:r>
        <w:rPr>
          <w:rFonts w:hint="eastAsia"/>
          <w:lang w:eastAsia="zh-CN"/>
        </w:rPr>
        <w:t>、</w:t>
      </w:r>
      <w:r>
        <w:rPr>
          <w:rFonts w:hint="eastAsia"/>
        </w:rPr>
        <w:t>县、乡两级划定基本农田保护区面积汇总表</w:t>
      </w:r>
      <w:r>
        <w:rPr>
          <w:rFonts w:hint="eastAsia"/>
          <w:lang w:eastAsia="zh-CN"/>
        </w:rPr>
        <w:t>；</w:t>
      </w:r>
    </w:p>
    <w:p>
      <w:pPr>
        <w:ind w:firstLine="632"/>
      </w:pPr>
      <w:r>
        <w:rPr>
          <w:rFonts w:hint="eastAsia"/>
        </w:rPr>
        <w:t>2</w:t>
      </w:r>
      <w:r>
        <w:rPr>
          <w:rFonts w:hint="eastAsia"/>
          <w:lang w:eastAsia="zh-CN"/>
        </w:rPr>
        <w:t>、</w:t>
      </w:r>
      <w:r>
        <w:rPr>
          <w:rFonts w:hint="eastAsia"/>
        </w:rPr>
        <w:t>乡（镇）基本农田保护区基本情况登记表</w:t>
      </w:r>
      <w:r>
        <w:rPr>
          <w:rFonts w:hint="eastAsia"/>
          <w:lang w:eastAsia="zh-CN"/>
        </w:rPr>
        <w:t>；</w:t>
      </w:r>
    </w:p>
    <w:p>
      <w:pPr>
        <w:ind w:firstLine="632"/>
        <w:rPr>
          <w:rFonts w:eastAsia="黑体"/>
        </w:rPr>
      </w:pPr>
      <w:r>
        <w:rPr>
          <w:rFonts w:hint="eastAsia"/>
        </w:rPr>
        <w:t>3</w:t>
      </w:r>
      <w:r>
        <w:rPr>
          <w:rFonts w:hint="eastAsia"/>
          <w:lang w:eastAsia="zh-CN"/>
        </w:rPr>
        <w:t>、</w:t>
      </w:r>
      <w:r>
        <w:rPr>
          <w:rFonts w:hint="eastAsia"/>
        </w:rPr>
        <w:t>乡（镇）基本农田保护区分布图和县级基</w:t>
      </w:r>
      <w:r>
        <w:rPr>
          <w:rFonts w:hint="eastAsia"/>
          <w:lang w:eastAsia="zh-CN"/>
        </w:rPr>
        <w:t>本</w:t>
      </w:r>
      <w:bookmarkStart w:id="0" w:name="_GoBack"/>
      <w:bookmarkEnd w:id="0"/>
      <w:r>
        <w:rPr>
          <w:rFonts w:hint="eastAsia"/>
        </w:rPr>
        <w:t>农田保护区分布图。</w:t>
      </w:r>
    </w:p>
    <w:p>
      <w:pPr>
        <w:ind w:firstLine="632"/>
      </w:pPr>
      <w:r>
        <w:rPr>
          <w:rFonts w:hint="eastAsia" w:eastAsia="黑体"/>
        </w:rPr>
        <w:t>第十二</w:t>
      </w:r>
      <w:r>
        <w:rPr>
          <w:rFonts w:hint="eastAsia" w:eastAsia="黑体"/>
          <w:lang w:eastAsia="zh-CN"/>
        </w:rPr>
        <w:t xml:space="preserve">条  </w:t>
      </w:r>
      <w:r>
        <w:rPr>
          <w:rFonts w:hint="eastAsia"/>
        </w:rPr>
        <w:t>省人民政府土地行政主管部门和农业行政主管部门应当自收到资料之日起三十日内，完成基本农田保护区验收、确认。经验收、确认后的县、乡两级基本农田保护区，县级人民政府应当进行公告，设置保护牌和保护界桩。公告应当载明下列内容</w:t>
      </w:r>
      <w:r>
        <w:rPr>
          <w:rFonts w:hint="eastAsia"/>
          <w:lang w:eastAsia="zh-CN"/>
        </w:rPr>
        <w:t>：</w:t>
      </w:r>
    </w:p>
    <w:p>
      <w:pPr>
        <w:ind w:firstLine="632"/>
      </w:pPr>
      <w:r>
        <w:rPr>
          <w:rFonts w:hint="eastAsia"/>
        </w:rPr>
        <w:t>（一）基本农田保护区分布图</w:t>
      </w:r>
      <w:r>
        <w:rPr>
          <w:rFonts w:hint="eastAsia"/>
          <w:lang w:eastAsia="zh-CN"/>
        </w:rPr>
        <w:t>；</w:t>
      </w:r>
    </w:p>
    <w:p>
      <w:pPr>
        <w:ind w:firstLine="632"/>
      </w:pPr>
      <w:r>
        <w:rPr>
          <w:rFonts w:hint="eastAsia"/>
        </w:rPr>
        <w:t>（二）保护区地块名称、编号、四至范围与面积</w:t>
      </w:r>
      <w:r>
        <w:rPr>
          <w:rFonts w:hint="eastAsia"/>
          <w:lang w:eastAsia="zh-CN"/>
        </w:rPr>
        <w:t>；</w:t>
      </w:r>
    </w:p>
    <w:p>
      <w:pPr>
        <w:ind w:firstLine="632"/>
      </w:pPr>
      <w:r>
        <w:rPr>
          <w:rFonts w:hint="eastAsia"/>
        </w:rPr>
        <w:t>（三）保护责任人</w:t>
      </w:r>
      <w:r>
        <w:rPr>
          <w:rFonts w:hint="eastAsia"/>
          <w:lang w:eastAsia="zh-CN"/>
        </w:rPr>
        <w:t>；</w:t>
      </w:r>
    </w:p>
    <w:p>
      <w:pPr>
        <w:ind w:firstLine="632"/>
        <w:rPr>
          <w:rFonts w:eastAsia="黑体"/>
        </w:rPr>
      </w:pPr>
      <w:r>
        <w:rPr>
          <w:rFonts w:hint="eastAsia"/>
        </w:rPr>
        <w:t>（四）其他应当载明的内容。</w:t>
      </w:r>
    </w:p>
    <w:p>
      <w:pPr>
        <w:ind w:firstLine="632"/>
      </w:pPr>
      <w:r>
        <w:rPr>
          <w:rFonts w:hint="eastAsia" w:eastAsia="黑体"/>
        </w:rPr>
        <w:t>第十三</w:t>
      </w:r>
      <w:r>
        <w:rPr>
          <w:rFonts w:hint="eastAsia" w:eastAsia="黑体"/>
          <w:lang w:eastAsia="zh-CN"/>
        </w:rPr>
        <w:t xml:space="preserve">条  </w:t>
      </w:r>
      <w:r>
        <w:rPr>
          <w:rFonts w:hint="eastAsia"/>
        </w:rPr>
        <w:t>基本农田保护区划定后，依法实行长期保护。保护区地块的四至范围、面积与用途不得随意改变。</w:t>
      </w:r>
    </w:p>
    <w:p>
      <w:pPr>
        <w:ind w:firstLine="632"/>
      </w:pPr>
      <w:r>
        <w:rPr>
          <w:rFonts w:hint="eastAsia"/>
        </w:rPr>
        <w:t>因经济和社会发展，确需对基本农田保护区进行局部调整的，由设区的市、县（市）人民政府持下列文件报省人民政府批准:</w:t>
      </w:r>
    </w:p>
    <w:p>
      <w:pPr>
        <w:ind w:firstLine="632"/>
      </w:pPr>
      <w:r>
        <w:rPr>
          <w:rFonts w:hint="eastAsia"/>
        </w:rPr>
        <w:t>（一）调整基本农田保护区申请报告</w:t>
      </w:r>
      <w:r>
        <w:rPr>
          <w:rFonts w:hint="eastAsia"/>
          <w:lang w:eastAsia="zh-CN"/>
        </w:rPr>
        <w:t>；</w:t>
      </w:r>
    </w:p>
    <w:p>
      <w:pPr>
        <w:ind w:firstLine="632"/>
      </w:pPr>
      <w:r>
        <w:rPr>
          <w:rFonts w:hint="eastAsia"/>
        </w:rPr>
        <w:t>（二）调整及补划地块的红线图</w:t>
      </w:r>
      <w:r>
        <w:rPr>
          <w:rFonts w:hint="eastAsia"/>
          <w:lang w:eastAsia="zh-CN"/>
        </w:rPr>
        <w:t>；</w:t>
      </w:r>
    </w:p>
    <w:p>
      <w:pPr>
        <w:ind w:firstLine="632"/>
      </w:pPr>
      <w:r>
        <w:rPr>
          <w:rFonts w:hint="eastAsia"/>
        </w:rPr>
        <w:t>（三）土地利用总体规划的修改方案</w:t>
      </w:r>
      <w:r>
        <w:rPr>
          <w:rFonts w:hint="eastAsia"/>
          <w:lang w:eastAsia="zh-CN"/>
        </w:rPr>
        <w:t>；</w:t>
      </w:r>
    </w:p>
    <w:p>
      <w:pPr>
        <w:ind w:firstLine="632"/>
      </w:pPr>
      <w:r>
        <w:rPr>
          <w:rFonts w:hint="eastAsia"/>
        </w:rPr>
        <w:t>（四）调整前后的基本农田保护区面积登记表和汇总表</w:t>
      </w:r>
      <w:r>
        <w:rPr>
          <w:rFonts w:hint="eastAsia"/>
          <w:lang w:eastAsia="zh-CN"/>
        </w:rPr>
        <w:t>；</w:t>
      </w:r>
    </w:p>
    <w:p>
      <w:pPr>
        <w:ind w:firstLine="632"/>
        <w:rPr>
          <w:rFonts w:eastAsia="黑体"/>
        </w:rPr>
      </w:pPr>
      <w:r>
        <w:rPr>
          <w:rFonts w:hint="eastAsia"/>
        </w:rPr>
        <w:t>（五）其他有关资料。</w:t>
      </w:r>
    </w:p>
    <w:p>
      <w:pPr>
        <w:ind w:firstLine="632"/>
      </w:pPr>
      <w:r>
        <w:rPr>
          <w:rFonts w:hint="eastAsia" w:eastAsia="黑体"/>
        </w:rPr>
        <w:t>第十四</w:t>
      </w:r>
      <w:r>
        <w:rPr>
          <w:rFonts w:hint="eastAsia" w:eastAsia="黑体"/>
          <w:lang w:eastAsia="zh-CN"/>
        </w:rPr>
        <w:t xml:space="preserve">条  </w:t>
      </w:r>
      <w:r>
        <w:rPr>
          <w:rFonts w:hint="eastAsia"/>
        </w:rPr>
        <w:t>县级人民政府土地行政主管部门应当建立基本农田保护档案，并向设区的市和省人民政府土地行政主管部门备案。</w:t>
      </w:r>
    </w:p>
    <w:p>
      <w:pPr>
        <w:ind w:firstLine="632"/>
      </w:pPr>
      <w:r>
        <w:rPr>
          <w:rFonts w:hint="eastAsia"/>
        </w:rPr>
        <w:t>基本农田保护区的档案资料应当长期保存，并允许公开查询。</w:t>
      </w:r>
    </w:p>
    <w:p>
      <w:pPr>
        <w:pStyle w:val="3"/>
        <w:spacing w:before="579" w:after="579"/>
        <w:ind w:firstLine="632"/>
      </w:pPr>
      <w:r>
        <w:rPr>
          <w:rFonts w:hint="eastAsia"/>
        </w:rPr>
        <w:t>第三</w:t>
      </w:r>
      <w:r>
        <w:rPr>
          <w:rFonts w:hint="eastAsia" w:eastAsia="黑体"/>
          <w:lang w:eastAsia="zh-CN"/>
        </w:rPr>
        <w:t xml:space="preserve">章  </w:t>
      </w:r>
      <w:r>
        <w:rPr>
          <w:rFonts w:hint="eastAsia"/>
        </w:rPr>
        <w:t>基本农田的保护与管理</w:t>
      </w:r>
    </w:p>
    <w:p>
      <w:pPr>
        <w:ind w:firstLine="632"/>
      </w:pPr>
      <w:r>
        <w:rPr>
          <w:rFonts w:hint="eastAsia" w:eastAsia="黑体"/>
        </w:rPr>
        <w:t>第十五</w:t>
      </w:r>
      <w:r>
        <w:rPr>
          <w:rFonts w:hint="eastAsia" w:eastAsia="黑体"/>
          <w:lang w:eastAsia="zh-CN"/>
        </w:rPr>
        <w:t xml:space="preserve">条  </w:t>
      </w:r>
      <w:r>
        <w:rPr>
          <w:rFonts w:hint="eastAsia"/>
        </w:rPr>
        <w:t>基本农田保护区划定后，县级以上地方人民政府应当与下一级人民政府签订基本农田保护责任书</w:t>
      </w:r>
      <w:r>
        <w:rPr>
          <w:rFonts w:hint="eastAsia"/>
          <w:lang w:eastAsia="zh-CN"/>
        </w:rPr>
        <w:t>；</w:t>
      </w:r>
      <w:r>
        <w:rPr>
          <w:rFonts w:hint="eastAsia"/>
        </w:rPr>
        <w:t>乡级人民政府应当与农村集体经济组织或者村民委员会签订基本农田保护责任书。</w:t>
      </w:r>
    </w:p>
    <w:p>
      <w:pPr>
        <w:ind w:firstLine="632"/>
        <w:rPr>
          <w:rFonts w:eastAsia="黑体"/>
        </w:rPr>
      </w:pPr>
      <w:r>
        <w:rPr>
          <w:rFonts w:hint="eastAsia"/>
        </w:rPr>
        <w:t>基本农田保护责任书，由省人民政府印制。</w:t>
      </w:r>
    </w:p>
    <w:p>
      <w:pPr>
        <w:ind w:firstLine="632"/>
        <w:rPr>
          <w:rFonts w:eastAsia="黑体"/>
        </w:rPr>
      </w:pPr>
      <w:r>
        <w:rPr>
          <w:rFonts w:hint="eastAsia" w:eastAsia="黑体"/>
        </w:rPr>
        <w:t>第十六</w:t>
      </w:r>
      <w:r>
        <w:rPr>
          <w:rFonts w:hint="eastAsia" w:eastAsia="黑体"/>
          <w:lang w:eastAsia="zh-CN"/>
        </w:rPr>
        <w:t xml:space="preserve">条  </w:t>
      </w:r>
      <w:r>
        <w:rPr>
          <w:rFonts w:hint="eastAsia"/>
        </w:rPr>
        <w:t>基本农田保护区划定后，县级以上地方人民政府农业行政主管部门必须有计划地组织农业生产经营组织和农业劳动者进行农田基本建设，推广农业科技</w:t>
      </w:r>
      <w:r>
        <w:rPr>
          <w:rFonts w:hint="eastAsia"/>
          <w:lang w:eastAsia="zh-CN"/>
        </w:rPr>
        <w:t>；</w:t>
      </w:r>
      <w:r>
        <w:rPr>
          <w:rFonts w:hint="eastAsia"/>
        </w:rPr>
        <w:t>应当逐步建立基本农田地力与施肥效益长期定位监测网点，定期公布基本农田地力变化情况，为农业生产经营组织和农业劳动者提供农业科技指导和服务。</w:t>
      </w:r>
    </w:p>
    <w:p>
      <w:pPr>
        <w:ind w:firstLine="632"/>
      </w:pPr>
      <w:r>
        <w:rPr>
          <w:rFonts w:hint="eastAsia" w:eastAsia="黑体"/>
        </w:rPr>
        <w:t>第十七</w:t>
      </w:r>
      <w:r>
        <w:rPr>
          <w:rFonts w:hint="eastAsia" w:eastAsia="黑体"/>
          <w:lang w:eastAsia="zh-CN"/>
        </w:rPr>
        <w:t xml:space="preserve">条  </w:t>
      </w:r>
      <w:r>
        <w:rPr>
          <w:rFonts w:hint="eastAsia"/>
        </w:rPr>
        <w:t>提倡和鼓励土地整理，改造中低产田，对田、水、路、林、村进行综合整治，增加有效耕地面积，提高耕地质量，实现农业增产增效和基本农田的长久保护。</w:t>
      </w:r>
    </w:p>
    <w:p>
      <w:pPr>
        <w:ind w:firstLine="632"/>
        <w:rPr>
          <w:rFonts w:eastAsia="黑体"/>
        </w:rPr>
      </w:pPr>
      <w:r>
        <w:rPr>
          <w:rFonts w:hint="eastAsia"/>
        </w:rPr>
        <w:t>土地整理规划由土地行政主管都门和农业行政主管部门负责编制，并报同级人民政府批准后实施。</w:t>
      </w:r>
    </w:p>
    <w:p>
      <w:pPr>
        <w:ind w:firstLine="632"/>
      </w:pPr>
      <w:r>
        <w:rPr>
          <w:rFonts w:hint="eastAsia" w:eastAsia="黑体"/>
        </w:rPr>
        <w:t>第十八</w:t>
      </w:r>
      <w:r>
        <w:rPr>
          <w:rFonts w:hint="eastAsia" w:eastAsia="黑体"/>
          <w:lang w:eastAsia="zh-CN"/>
        </w:rPr>
        <w:t xml:space="preserve">条  </w:t>
      </w:r>
      <w:r>
        <w:rPr>
          <w:rFonts w:hint="eastAsia"/>
        </w:rPr>
        <w:t>严格控制各类非农业建设占用基本农田。国家能源、交通、水利、军事设施等重点项目选址确实无法避开基本农田保护区，需要占用基本农田的，涉及农用地转用或者征收土地的，建设单位应当向县（市）或者设区的市人民政府土地行政主管部门提出申请，由县（市）或者设区的市人民政府持下列文件依照法定程序报国务院批准</w:t>
      </w:r>
      <w:r>
        <w:rPr>
          <w:rFonts w:hint="eastAsia"/>
          <w:lang w:eastAsia="zh-CN"/>
        </w:rPr>
        <w:t>：</w:t>
      </w:r>
    </w:p>
    <w:p>
      <w:pPr>
        <w:ind w:firstLine="632"/>
      </w:pPr>
      <w:r>
        <w:rPr>
          <w:rFonts w:hint="eastAsia"/>
        </w:rPr>
        <w:t>（一）使用基本农田申请报告</w:t>
      </w:r>
      <w:r>
        <w:rPr>
          <w:rFonts w:hint="eastAsia"/>
          <w:lang w:eastAsia="zh-CN"/>
        </w:rPr>
        <w:t>；</w:t>
      </w:r>
    </w:p>
    <w:p>
      <w:pPr>
        <w:ind w:firstLine="632"/>
      </w:pPr>
      <w:r>
        <w:rPr>
          <w:rFonts w:hint="eastAsia"/>
        </w:rPr>
        <w:t>（二）拟使用的基本农田红线图</w:t>
      </w:r>
      <w:r>
        <w:rPr>
          <w:rFonts w:hint="eastAsia"/>
          <w:lang w:eastAsia="zh-CN"/>
        </w:rPr>
        <w:t>；</w:t>
      </w:r>
    </w:p>
    <w:p>
      <w:pPr>
        <w:ind w:firstLine="632"/>
      </w:pPr>
      <w:r>
        <w:rPr>
          <w:rFonts w:hint="eastAsia"/>
        </w:rPr>
        <w:t>（三）设区的市、县（市）人民政府土地行政主管部门实地踏勘意见</w:t>
      </w:r>
      <w:r>
        <w:rPr>
          <w:rFonts w:hint="eastAsia"/>
          <w:lang w:eastAsia="zh-CN"/>
        </w:rPr>
        <w:t>；</w:t>
      </w:r>
    </w:p>
    <w:p>
      <w:pPr>
        <w:ind w:firstLine="632"/>
      </w:pPr>
      <w:r>
        <w:rPr>
          <w:rFonts w:hint="eastAsia"/>
        </w:rPr>
        <w:t>（四）设区的市、县（市）人民政府出具的基本农田补划方案</w:t>
      </w:r>
      <w:r>
        <w:rPr>
          <w:rFonts w:hint="eastAsia"/>
          <w:lang w:eastAsia="zh-CN"/>
        </w:rPr>
        <w:t>；</w:t>
      </w:r>
    </w:p>
    <w:p>
      <w:pPr>
        <w:ind w:firstLine="632"/>
        <w:rPr>
          <w:rFonts w:eastAsia="黑体"/>
        </w:rPr>
      </w:pPr>
      <w:r>
        <w:rPr>
          <w:rFonts w:hint="eastAsia"/>
        </w:rPr>
        <w:t>（五）法律、法规规定的其他文件资料。</w:t>
      </w:r>
    </w:p>
    <w:p>
      <w:pPr>
        <w:ind w:firstLine="632"/>
      </w:pPr>
      <w:r>
        <w:rPr>
          <w:rFonts w:hint="eastAsia" w:eastAsia="黑体"/>
        </w:rPr>
        <w:t>第十九</w:t>
      </w:r>
      <w:r>
        <w:rPr>
          <w:rFonts w:hint="eastAsia" w:eastAsia="黑体"/>
          <w:lang w:eastAsia="zh-CN"/>
        </w:rPr>
        <w:t xml:space="preserve">条  </w:t>
      </w:r>
      <w:r>
        <w:rPr>
          <w:rFonts w:hint="eastAsia"/>
        </w:rPr>
        <w:t>经国务院批准占用基本农田的，建设项目所在的设区的市、县（市、区）、乡（镇）人民政府应当根据国务院的批准文件修改土地利用总体规划，补充划入数量与质量相当的基本农田。补充划入的基本农田应当报省人民政府土地行政主管部门和农业行政主管部门验收确认。</w:t>
      </w:r>
    </w:p>
    <w:p>
      <w:pPr>
        <w:ind w:firstLine="632"/>
        <w:rPr>
          <w:rFonts w:eastAsia="黑体"/>
        </w:rPr>
      </w:pPr>
      <w:r>
        <w:rPr>
          <w:rFonts w:hint="eastAsia"/>
        </w:rPr>
        <w:t>建设项目所在地没有条件补充划入数量与质量相当的基本农田的，可以实行异地有偿补划，补偿资金用于土地整理，不得挪作他用。具体办法由省人民政府制定。</w:t>
      </w:r>
    </w:p>
    <w:p>
      <w:pPr>
        <w:ind w:firstLine="632"/>
        <w:rPr>
          <w:rFonts w:eastAsia="黑体"/>
        </w:rPr>
      </w:pPr>
      <w:r>
        <w:rPr>
          <w:rFonts w:hint="eastAsia" w:eastAsia="黑体"/>
        </w:rPr>
        <w:t>第二十</w:t>
      </w:r>
      <w:r>
        <w:rPr>
          <w:rFonts w:hint="eastAsia" w:eastAsia="黑体"/>
          <w:lang w:eastAsia="zh-CN"/>
        </w:rPr>
        <w:t xml:space="preserve">条  </w:t>
      </w:r>
      <w:r>
        <w:rPr>
          <w:rFonts w:hint="eastAsia"/>
        </w:rPr>
        <w:t>占用基本农田进行非农业建设的单位，应当按照占多少、垦多少的原则，负责开垦与所占基本农田的数量与质量相当的耕地，没有条件开垦或者开垦的耕地不符合要求的，除按有关规定缴纳土地税费外，还应当按照省人民政府规定的标准，向省人民政府土地行政主管部门缴纳耕地开垦费。</w:t>
      </w:r>
    </w:p>
    <w:p>
      <w:pPr>
        <w:ind w:firstLine="632"/>
      </w:pPr>
      <w:r>
        <w:rPr>
          <w:rFonts w:hint="eastAsia" w:eastAsia="黑体"/>
        </w:rPr>
        <w:t>第二十一</w:t>
      </w:r>
      <w:r>
        <w:rPr>
          <w:rFonts w:hint="eastAsia" w:eastAsia="黑体"/>
          <w:lang w:eastAsia="zh-CN"/>
        </w:rPr>
        <w:t xml:space="preserve">条  </w:t>
      </w:r>
      <w:r>
        <w:rPr>
          <w:rFonts w:hint="eastAsia"/>
        </w:rPr>
        <w:t>耕地开垦费不得减免。</w:t>
      </w:r>
    </w:p>
    <w:p>
      <w:pPr>
        <w:ind w:firstLine="632"/>
      </w:pPr>
      <w:r>
        <w:rPr>
          <w:rFonts w:hint="eastAsia"/>
        </w:rPr>
        <w:t>耕地开垦费应当缴存财政专户，专项用于开发新耕地和土地整理，不得侵占或者挪作他用。</w:t>
      </w:r>
    </w:p>
    <w:p>
      <w:pPr>
        <w:ind w:firstLine="632"/>
        <w:rPr>
          <w:rFonts w:eastAsia="黑体"/>
        </w:rPr>
      </w:pPr>
      <w:r>
        <w:rPr>
          <w:rFonts w:hint="eastAsia"/>
        </w:rPr>
        <w:t>省人民政府土地行政主管部门应当按照省人民政府的规定，将耕地开垦费及时足额拨给负责开垦耕地的单位或者个人。</w:t>
      </w:r>
    </w:p>
    <w:p>
      <w:pPr>
        <w:ind w:firstLine="632"/>
      </w:pPr>
      <w:r>
        <w:rPr>
          <w:rFonts w:hint="eastAsia" w:eastAsia="黑体"/>
        </w:rPr>
        <w:t>第二十二</w:t>
      </w:r>
      <w:r>
        <w:rPr>
          <w:rFonts w:hint="eastAsia" w:eastAsia="黑体"/>
          <w:lang w:eastAsia="zh-CN"/>
        </w:rPr>
        <w:t xml:space="preserve">条  </w:t>
      </w:r>
      <w:r>
        <w:rPr>
          <w:rFonts w:hint="eastAsia"/>
        </w:rPr>
        <w:t>修建铁路、公路，开办矿山、电力和其他工业企业使用或者影响基本农田的，在建设项目环境影响报告书中，必须有基本农田环境保护方案。</w:t>
      </w:r>
    </w:p>
    <w:p>
      <w:pPr>
        <w:ind w:firstLine="632"/>
      </w:pPr>
      <w:r>
        <w:rPr>
          <w:rFonts w:hint="eastAsia"/>
        </w:rPr>
        <w:t>基本农田环境保护设施，应当与建设项目主体工程同时设计、同步施工、同期投入使用。在依法对基本农田环境保护设施进行验收时，土地、环境保护、农业等行政主管部门应当参加。</w:t>
      </w:r>
    </w:p>
    <w:p>
      <w:pPr>
        <w:ind w:firstLine="632"/>
      </w:pPr>
      <w:r>
        <w:rPr>
          <w:rFonts w:hint="eastAsia"/>
        </w:rPr>
        <w:t>非农业建设破坏基本农田水利设施的，应当负责修复并赔偿损失。</w:t>
      </w:r>
    </w:p>
    <w:p>
      <w:pPr>
        <w:pStyle w:val="3"/>
        <w:spacing w:before="579" w:after="579"/>
        <w:ind w:firstLine="632"/>
      </w:pPr>
      <w:r>
        <w:rPr>
          <w:rFonts w:hint="eastAsia"/>
        </w:rPr>
        <w:t>第四</w:t>
      </w:r>
      <w:r>
        <w:rPr>
          <w:rFonts w:hint="eastAsia" w:eastAsia="黑体"/>
          <w:lang w:eastAsia="zh-CN"/>
        </w:rPr>
        <w:t xml:space="preserve">章  </w:t>
      </w:r>
      <w:r>
        <w:rPr>
          <w:rFonts w:hint="eastAsia"/>
        </w:rPr>
        <w:t>法律责任</w:t>
      </w:r>
    </w:p>
    <w:p>
      <w:pPr>
        <w:ind w:firstLine="632"/>
        <w:rPr>
          <w:rFonts w:eastAsia="黑体"/>
        </w:rPr>
      </w:pPr>
      <w:r>
        <w:rPr>
          <w:rFonts w:hint="eastAsia" w:eastAsia="黑体"/>
        </w:rPr>
        <w:t>第二十三</w:t>
      </w:r>
      <w:r>
        <w:rPr>
          <w:rFonts w:hint="eastAsia" w:eastAsia="黑体"/>
          <w:lang w:eastAsia="zh-CN"/>
        </w:rPr>
        <w:t xml:space="preserve">条  </w:t>
      </w:r>
      <w:r>
        <w:rPr>
          <w:rFonts w:hint="eastAsia"/>
        </w:rPr>
        <w:t>承包经营基本农田的单位或者个人连续两年弃耕抛荒的，发包单位应当终止承包合同，收回发包的基本农田。</w:t>
      </w:r>
    </w:p>
    <w:p>
      <w:pPr>
        <w:ind w:firstLine="632"/>
        <w:rPr>
          <w:rFonts w:eastAsia="黑体"/>
        </w:rPr>
      </w:pPr>
      <w:r>
        <w:rPr>
          <w:rFonts w:hint="eastAsia" w:eastAsia="黑体"/>
        </w:rPr>
        <w:t>第二十四</w:t>
      </w:r>
      <w:r>
        <w:rPr>
          <w:rFonts w:hint="eastAsia" w:eastAsia="黑体"/>
          <w:lang w:eastAsia="zh-CN"/>
        </w:rPr>
        <w:t xml:space="preserve">条  </w:t>
      </w:r>
      <w:r>
        <w:rPr>
          <w:rFonts w:hint="eastAsia"/>
        </w:rPr>
        <w:t>破坏或者擅自改变保护区标志的单位或者个人，由县级以上人民政府土地行政主管部门责令其恢复原状或者赔偿损失，并处以三百元至五百元的罚款。</w:t>
      </w:r>
    </w:p>
    <w:p>
      <w:pPr>
        <w:ind w:firstLine="632"/>
        <w:rPr>
          <w:rFonts w:eastAsia="黑体"/>
        </w:rPr>
      </w:pPr>
      <w:r>
        <w:rPr>
          <w:rFonts w:hint="eastAsia" w:eastAsia="黑体"/>
        </w:rPr>
        <w:t>第二十五</w:t>
      </w:r>
      <w:r>
        <w:rPr>
          <w:rFonts w:hint="eastAsia" w:eastAsia="黑体"/>
          <w:lang w:eastAsia="zh-CN"/>
        </w:rPr>
        <w:t xml:space="preserve">条  </w:t>
      </w:r>
      <w:r>
        <w:rPr>
          <w:rFonts w:hint="eastAsia"/>
        </w:rPr>
        <w:t>擅自减少基本农田保护面积，调整基本农田保护范围，更改基本农田保护区的图形、数据的，其行为无效。对单位主管人员和其他直接责任人员依法给予行政处分。</w:t>
      </w:r>
    </w:p>
    <w:p>
      <w:pPr>
        <w:ind w:firstLine="632"/>
        <w:rPr>
          <w:rFonts w:eastAsia="黑体"/>
        </w:rPr>
      </w:pPr>
      <w:r>
        <w:rPr>
          <w:rFonts w:hint="eastAsia" w:eastAsia="黑体"/>
        </w:rPr>
        <w:t>第二十六</w:t>
      </w:r>
      <w:r>
        <w:rPr>
          <w:rFonts w:hint="eastAsia" w:eastAsia="黑体"/>
          <w:lang w:eastAsia="zh-CN"/>
        </w:rPr>
        <w:t xml:space="preserve">条  </w:t>
      </w:r>
      <w:r>
        <w:rPr>
          <w:rFonts w:hint="eastAsia"/>
        </w:rPr>
        <w:t>弄虚作假批准或者骗取批准，将基本农田作为非基本农田的，其批准文件无效。由此给用地单位、被用地单位或者个人造成损失的，责任单位应当负责赔偿。对弄虚作假批准或者骗取批准占用基本农田的单位主管人员和其他直接责任人员依法给予行政处分。</w:t>
      </w:r>
    </w:p>
    <w:p>
      <w:pPr>
        <w:ind w:firstLine="632"/>
      </w:pPr>
      <w:r>
        <w:rPr>
          <w:rFonts w:hint="eastAsia" w:eastAsia="黑体"/>
        </w:rPr>
        <w:t>第二十七</w:t>
      </w:r>
      <w:r>
        <w:rPr>
          <w:rFonts w:hint="eastAsia" w:eastAsia="黑体"/>
          <w:lang w:eastAsia="zh-CN"/>
        </w:rPr>
        <w:t xml:space="preserve">条  </w:t>
      </w:r>
      <w:r>
        <w:rPr>
          <w:rFonts w:hint="eastAsia"/>
        </w:rPr>
        <w:t>违反本条例规定，改变基本农田地形地貌，破坏种植条件，构成犯罪的，依法追究刑事责任</w:t>
      </w:r>
      <w:r>
        <w:rPr>
          <w:rFonts w:hint="eastAsia"/>
          <w:lang w:eastAsia="zh-CN"/>
        </w:rPr>
        <w:t>；</w:t>
      </w:r>
      <w:r>
        <w:rPr>
          <w:rFonts w:hint="eastAsia"/>
        </w:rPr>
        <w:t>尚不构成犯罪的，由县级以上地方人民政府土地行政主管部门区别下列不同情形给予处罚:</w:t>
      </w:r>
    </w:p>
    <w:p>
      <w:pPr>
        <w:ind w:firstLine="632"/>
      </w:pPr>
      <w:r>
        <w:rPr>
          <w:rFonts w:hint="eastAsia"/>
        </w:rPr>
        <w:t>（一）被破坏的基本农田可以恢复原种植条件的，责令限期恢复，并处以占用基本农田的耕地开垦费的一倍罚款</w:t>
      </w:r>
      <w:r>
        <w:rPr>
          <w:rFonts w:hint="eastAsia"/>
          <w:lang w:eastAsia="zh-CN"/>
        </w:rPr>
        <w:t>；</w:t>
      </w:r>
    </w:p>
    <w:p>
      <w:pPr>
        <w:ind w:firstLine="632"/>
        <w:rPr>
          <w:rFonts w:eastAsia="黑体"/>
        </w:rPr>
      </w:pPr>
      <w:r>
        <w:rPr>
          <w:rFonts w:hint="eastAsia"/>
        </w:rPr>
        <w:t>（二）被破坏的基本农田无法恢复原种植条件的，处以占用基本农田的耕地开垦费的二倍罚款。</w:t>
      </w:r>
    </w:p>
    <w:p>
      <w:pPr>
        <w:ind w:firstLine="632"/>
        <w:rPr>
          <w:rFonts w:eastAsia="黑体"/>
        </w:rPr>
      </w:pPr>
      <w:r>
        <w:rPr>
          <w:rFonts w:hint="eastAsia" w:eastAsia="黑体"/>
        </w:rPr>
        <w:t>第二十八</w:t>
      </w:r>
      <w:r>
        <w:rPr>
          <w:rFonts w:hint="eastAsia" w:eastAsia="黑体"/>
          <w:lang w:eastAsia="zh-CN"/>
        </w:rPr>
        <w:t xml:space="preserve">条  </w:t>
      </w:r>
      <w:r>
        <w:rPr>
          <w:rFonts w:hint="eastAsia"/>
        </w:rPr>
        <w:t>侵占或者挪用基本农田的耕地开垦费的，给予行政处分</w:t>
      </w:r>
      <w:r>
        <w:rPr>
          <w:rFonts w:hint="eastAsia"/>
          <w:lang w:eastAsia="zh-CN"/>
        </w:rPr>
        <w:t>；</w:t>
      </w:r>
      <w:r>
        <w:rPr>
          <w:rFonts w:hint="eastAsia"/>
        </w:rPr>
        <w:t>构成犯罪的，依法追究刑事责任。</w:t>
      </w:r>
    </w:p>
    <w:p>
      <w:pPr>
        <w:ind w:firstLine="632"/>
      </w:pPr>
      <w:r>
        <w:rPr>
          <w:rFonts w:hint="eastAsia" w:eastAsia="黑体"/>
        </w:rPr>
        <w:t>第二十九</w:t>
      </w:r>
      <w:r>
        <w:rPr>
          <w:rFonts w:hint="eastAsia" w:eastAsia="黑体"/>
          <w:lang w:eastAsia="zh-CN"/>
        </w:rPr>
        <w:t xml:space="preserve">条  </w:t>
      </w:r>
      <w:r>
        <w:rPr>
          <w:rFonts w:hint="eastAsia"/>
        </w:rPr>
        <w:t>基本农田保护管理工作人员玩忽职守、滥用职权、徇私舞弊的，由其所在单位或者其上级主管机关给予行政处分</w:t>
      </w:r>
      <w:r>
        <w:rPr>
          <w:rFonts w:hint="eastAsia"/>
          <w:lang w:eastAsia="zh-CN"/>
        </w:rPr>
        <w:t>；</w:t>
      </w:r>
      <w:r>
        <w:rPr>
          <w:rFonts w:hint="eastAsia"/>
        </w:rPr>
        <w:t>构成犯罪的，依法追究刑事责任。</w:t>
      </w:r>
    </w:p>
    <w:p>
      <w:pPr>
        <w:pStyle w:val="3"/>
        <w:spacing w:before="579" w:after="579"/>
        <w:ind w:firstLine="632"/>
        <w:rPr>
          <w:bCs/>
        </w:rPr>
      </w:pPr>
      <w:r>
        <w:rPr>
          <w:rFonts w:hint="eastAsia"/>
          <w:bCs/>
        </w:rPr>
        <w:t>第五</w:t>
      </w:r>
      <w:r>
        <w:rPr>
          <w:rFonts w:hint="eastAsia" w:eastAsia="黑体"/>
          <w:bCs/>
          <w:lang w:eastAsia="zh-CN"/>
        </w:rPr>
        <w:t xml:space="preserve">章  </w:t>
      </w:r>
      <w:r>
        <w:rPr>
          <w:rFonts w:hint="eastAsia"/>
          <w:bCs/>
        </w:rPr>
        <w:t>附则</w:t>
      </w:r>
    </w:p>
    <w:p>
      <w:pPr>
        <w:ind w:firstLine="632"/>
      </w:pPr>
      <w:r>
        <w:rPr>
          <w:rFonts w:hint="eastAsia" w:eastAsia="黑体"/>
        </w:rPr>
        <w:t>第三十</w:t>
      </w:r>
      <w:r>
        <w:rPr>
          <w:rFonts w:hint="eastAsia" w:eastAsia="黑体"/>
          <w:lang w:eastAsia="zh-CN"/>
        </w:rPr>
        <w:t xml:space="preserve">条  </w:t>
      </w:r>
      <w:r>
        <w:rPr>
          <w:rFonts w:hint="eastAsia"/>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书宋_GBK">
    <w:altName w:val="微软雅黑"/>
    <w:panose1 w:val="03000509000000000000"/>
    <w:charset w:val="86"/>
    <w:family w:val="script"/>
    <w:pitch w:val="default"/>
    <w:sig w:usb0="00000000" w:usb1="00000000" w:usb2="00000000" w:usb3="00000000" w:csb0="00040000" w:csb1="00000000"/>
  </w:font>
  <w:font w:name="晶状体">
    <w:altName w:val="Courier New"/>
    <w:panose1 w:val="00000000000000000000"/>
    <w:charset w:val="00"/>
    <w:family w:val="auto"/>
    <w:pitch w:val="default"/>
    <w:sig w:usb0="00000000" w:usb1="00000000" w:usb2="00000000" w:usb3="00000000" w:csb0="00000000" w:csb1="00000000"/>
  </w:font>
  <w:font w:name="晶状">
    <w:altName w:val="Courier New"/>
    <w:panose1 w:val="00000000000000000000"/>
    <w:charset w:val="00"/>
    <w:family w:val="auto"/>
    <w:pitch w:val="default"/>
    <w:sig w:usb0="00000000" w:usb1="00000000" w:usb2="00000000" w:usb3="00000000" w:csb0="00000000" w:csb1="00000000"/>
  </w:font>
  <w:font w:name="晶">
    <w:altName w:val="Courier New"/>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D7586"/>
    <w:rsid w:val="00191305"/>
    <w:rsid w:val="001D7586"/>
    <w:rsid w:val="00C2070B"/>
    <w:rsid w:val="00FC5958"/>
    <w:rsid w:val="08B0081A"/>
    <w:rsid w:val="0EA43D61"/>
    <w:rsid w:val="11A62A4B"/>
    <w:rsid w:val="126704EB"/>
    <w:rsid w:val="158D7161"/>
    <w:rsid w:val="2BFA490F"/>
    <w:rsid w:val="307F71DE"/>
    <w:rsid w:val="397A48AC"/>
    <w:rsid w:val="45181145"/>
    <w:rsid w:val="48260A1F"/>
    <w:rsid w:val="4E7D727E"/>
    <w:rsid w:val="534440F4"/>
    <w:rsid w:val="5BAD2234"/>
    <w:rsid w:val="5E013713"/>
    <w:rsid w:val="61251C51"/>
    <w:rsid w:val="64464972"/>
    <w:rsid w:val="69BD13C0"/>
    <w:rsid w:val="7B0F7B4F"/>
    <w:rsid w:val="7CCB5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afterLines="0"/>
      <w:ind w:firstLine="472"/>
    </w:pPr>
    <w:rPr>
      <w:rFonts w:ascii="Calibri" w:hAnsi="Calibri" w:eastAsia="宋体"/>
      <w:kern w:val="44"/>
      <w:sz w:val="44"/>
    </w:rPr>
  </w:style>
  <w:style w:type="paragraph" w:styleId="4">
    <w:name w:val="heading 2"/>
    <w:basedOn w:val="1"/>
    <w:next w:val="5"/>
    <w:link w:val="12"/>
    <w:unhideWhenUsed/>
    <w:qFormat/>
    <w:uiPriority w:val="0"/>
    <w:pPr>
      <w:keepNext/>
      <w:keepLines/>
      <w:spacing w:beforeLines="100" w:line="620" w:lineRule="exact"/>
      <w:ind w:left="632" w:leftChars="200" w:right="632" w:rightChars="200" w:firstLine="0" w:firstLineChars="0"/>
      <w:outlineLvl w:val="1"/>
    </w:pPr>
    <w:rPr>
      <w:rFonts w:ascii="Arial" w:hAnsi="Arial" w:eastAsia="楷体_GB2312"/>
    </w:rPr>
  </w:style>
  <w:style w:type="paragraph" w:styleId="5">
    <w:name w:val="heading 3"/>
    <w:basedOn w:val="1"/>
    <w:next w:val="1"/>
    <w:link w:val="11"/>
    <w:unhideWhenUsed/>
    <w:qFormat/>
    <w:uiPriority w:val="0"/>
    <w:pPr>
      <w:keepNext/>
      <w:keepLines/>
      <w:spacing w:beforeLines="100" w:afterLines="100" w:line="620" w:lineRule="exact"/>
      <w:ind w:firstLine="872"/>
      <w:jc w:val="center"/>
      <w:outlineLvl w:val="2"/>
    </w:pPr>
    <w:rPr>
      <w:rFonts w:eastAsia="黑体"/>
      <w:b/>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Lines="100" w:afterLines="10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qFormat/>
    <w:uiPriority w:val="0"/>
    <w:rPr>
      <w:rFonts w:eastAsia="黑体"/>
      <w:b/>
    </w:rPr>
  </w:style>
  <w:style w:type="character" w:customStyle="1" w:styleId="12">
    <w:name w:val="标题 2 Char"/>
    <w:link w:val="4"/>
    <w:qFormat/>
    <w:uiPriority w:val="0"/>
    <w:rPr>
      <w:rFonts w:ascii="Arial" w:hAnsi="Arial" w:eastAsia="楷体_GB231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590</Words>
  <Characters>3364</Characters>
  <Lines>28</Lines>
  <Paragraphs>7</Paragraphs>
  <ScaleCrop>false</ScaleCrop>
  <LinksUpToDate>false</LinksUpToDate>
  <CharactersWithSpaces>3947</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dcterms:modified xsi:type="dcterms:W3CDTF">2019-04-23T01:27:44Z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