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eastAsia="zh-CN"/>
        </w:rPr>
      </w:pPr>
      <w:r>
        <w:rPr>
          <w:rFonts w:hint="eastAsia"/>
          <w:lang w:eastAsia="zh-CN"/>
        </w:rPr>
        <w:t>福建省禁止非医学需要鉴定胎儿性别</w:t>
      </w:r>
    </w:p>
    <w:p>
      <w:pPr>
        <w:pStyle w:val="2"/>
        <w:keepNext/>
        <w:keepLines/>
        <w:pageBreakBefore w:val="0"/>
        <w:widowControl w:val="0"/>
        <w:kinsoku/>
        <w:wordWrap/>
        <w:overflowPunct/>
        <w:topLinePunct w:val="0"/>
        <w:autoSpaceDE/>
        <w:autoSpaceDN/>
        <w:bidi w:val="0"/>
        <w:adjustRightInd/>
        <w:snapToGrid/>
        <w:spacing w:before="0" w:beforeLines="0" w:afterLines="0" w:line="240" w:lineRule="auto"/>
        <w:ind w:left="0" w:leftChars="0" w:right="0" w:rightChars="0" w:firstLine="0" w:firstLineChars="0"/>
        <w:jc w:val="center"/>
        <w:textAlignment w:val="auto"/>
        <w:outlineLvl w:val="0"/>
        <w:rPr>
          <w:rFonts w:hint="eastAsia"/>
          <w:lang w:eastAsia="zh-CN"/>
        </w:rPr>
      </w:pPr>
      <w:r>
        <w:rPr>
          <w:rFonts w:hint="eastAsia"/>
          <w:lang w:eastAsia="zh-CN"/>
        </w:rPr>
        <w:t xml:space="preserve">和选择性别终止妊娠条例  </w:t>
      </w:r>
    </w:p>
    <w:p>
      <w:pPr>
        <w:pStyle w:val="3"/>
        <w:rPr>
          <w:rFonts w:hint="eastAsia"/>
          <w:lang w:eastAsia="zh-CN"/>
        </w:rPr>
      </w:pPr>
      <w:r>
        <w:rPr>
          <w:rFonts w:hint="eastAsia"/>
          <w:lang w:eastAsia="zh-CN"/>
        </w:rPr>
        <w:t>（</w:t>
      </w:r>
      <w:r>
        <w:rPr>
          <w:rFonts w:hint="eastAsia"/>
          <w:lang w:val="en-US" w:eastAsia="zh-CN"/>
        </w:rPr>
        <w:t>2003年9月24日福建省第十届人民代表大会常务委员会第五次会议通过</w:t>
      </w:r>
      <w:r>
        <w:rPr>
          <w:rFonts w:hint="eastAsia"/>
          <w:lang w:eastAsia="zh-CN"/>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1248" w:rightChars="400" w:firstLine="0" w:firstLineChars="0"/>
        <w:jc w:val="right"/>
        <w:textAlignment w:val="auto"/>
        <w:outlineLvl w:val="9"/>
        <w:rPr>
          <w:rFonts w:hint="eastAsia" w:eastAsia="黑体"/>
          <w:lang w:eastAsia="zh-CN"/>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lang w:eastAsia="zh-CN"/>
        </w:rPr>
      </w:pPr>
      <w:r>
        <w:rPr>
          <w:rFonts w:hint="eastAsia" w:eastAsia="黑体"/>
          <w:lang w:eastAsia="zh-CN"/>
        </w:rPr>
        <w:t>第一条</w:t>
      </w:r>
      <w:r>
        <w:rPr>
          <w:rFonts w:hint="eastAsia"/>
          <w:lang w:eastAsia="zh-CN"/>
        </w:rPr>
        <w:t xml:space="preserve">　为了促进出生人口性别结构平衡，推动人口与计划生育工作的健康发展，根据人口与计划生育法、母婴保健法等法律法规，结合本省实际，制定本条例。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eastAsia="黑体"/>
          <w:lang w:eastAsia="zh-CN"/>
        </w:rPr>
        <w:t>第二条</w:t>
      </w:r>
      <w:r>
        <w:rPr>
          <w:rFonts w:hint="eastAsia"/>
          <w:lang w:eastAsia="zh-CN"/>
        </w:rPr>
        <w:t xml:space="preserve">　县级以上计划生育行政部门在同级人民政府领导下负责组织本条例的实施。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lang w:eastAsia="zh-CN"/>
        </w:rPr>
      </w:pPr>
      <w:r>
        <w:rPr>
          <w:rFonts w:hint="eastAsia"/>
          <w:lang w:eastAsia="zh-CN"/>
        </w:rPr>
        <w:t xml:space="preserve">县级以上计划生育、卫生、药品监督管理等行政部门，按照各自职责，对本行政区域内的胎儿性别鉴定、终止妊娠手术、终止妊娠药品等实施监督管理。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eastAsia="黑体"/>
          <w:lang w:eastAsia="zh-CN"/>
        </w:rPr>
        <w:t>第三条</w:t>
      </w:r>
      <w:r>
        <w:rPr>
          <w:rFonts w:hint="eastAsia"/>
          <w:lang w:eastAsia="zh-CN"/>
        </w:rPr>
        <w:t xml:space="preserve">　禁止非医学需要进行胎儿性别鉴定和选择性别的人工终止妊娠。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lang w:eastAsia="zh-CN"/>
        </w:rPr>
        <w:t xml:space="preserve">本条例所称的非医学需要鉴定胎儿性别和选择性别终止妊娠，是指除已被诊断为伴性遗传性疾病需要外所进行的胎儿性别鉴定和选择性别终止妊娠。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lang w:eastAsia="zh-CN"/>
        </w:rPr>
      </w:pPr>
      <w:r>
        <w:rPr>
          <w:rFonts w:hint="eastAsia"/>
          <w:lang w:eastAsia="zh-CN"/>
        </w:rPr>
        <w:t xml:space="preserve">省计划生育、卫生、药品监督管理等行政部门，应当分别制定有关胎儿性别鉴定的超声、染色体和其他检测技术，以及终止妊娠手术、终止妊娠药品的管理制度，并定期组织检查。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eastAsia="黑体"/>
          <w:lang w:eastAsia="zh-CN"/>
        </w:rPr>
        <w:t>第四条</w:t>
      </w:r>
      <w:r>
        <w:rPr>
          <w:rFonts w:hint="eastAsia"/>
          <w:lang w:eastAsia="zh-CN"/>
        </w:rPr>
        <w:t xml:space="preserve">　医疗保健机构开展医学需要的胎儿性别鉴定业务，由设区的市卫生行政部门初审，省卫生行政部门批准并向省计划生育行政部门通报。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lang w:eastAsia="zh-CN"/>
        </w:rPr>
        <w:t xml:space="preserve">医学需要鉴定胎儿性别的，由前款规定的医疗保健机构三人以上的专家组审核并出具医学诊断结果，也可以由设区的市病残儿鉴定委员会或者母婴保健医学技术鉴定委员会出具证明。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lang w:eastAsia="zh-CN"/>
        </w:rPr>
      </w:pPr>
      <w:r>
        <w:rPr>
          <w:rFonts w:hint="eastAsia"/>
          <w:lang w:eastAsia="zh-CN"/>
        </w:rPr>
        <w:t xml:space="preserve">除前两款规定的情形外，任何单位和个人不得进行胎儿性别鉴定，检测报告不得含有胎儿性别的内容。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eastAsia="黑体"/>
          <w:lang w:eastAsia="zh-CN"/>
        </w:rPr>
        <w:t>第五条</w:t>
      </w:r>
      <w:r>
        <w:rPr>
          <w:rFonts w:hint="eastAsia"/>
          <w:lang w:eastAsia="zh-CN"/>
        </w:rPr>
        <w:t xml:space="preserve">　除教学、科研机构因教学、科研需要外，购买、使用超声诊断仪应当符合下列条件：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lang w:eastAsia="zh-CN"/>
        </w:rPr>
        <w:t xml:space="preserve">（一）取得《医疗机构执业许可证》；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lang w:eastAsia="zh-CN"/>
        </w:rPr>
        <w:t xml:space="preserve">（二）诊疗科目设有医学超声项目；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lang w:eastAsia="zh-CN"/>
        </w:rPr>
        <w:t xml:space="preserve">（三）超声诊断仪操作人员、超声诊断人员持有省级卫生行政部门颁发的超声医学上岗资格证书，超声诊断人员还应当具有执业助理医师以上资格。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lang w:eastAsia="zh-CN"/>
        </w:rPr>
        <w:t xml:space="preserve">计划生育技术服务机构从事避孕节育超声检查需要购买超声诊断仪的，按照省计划生育行政部门有关规定执行。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lang w:eastAsia="zh-CN"/>
        </w:rPr>
        <w:t xml:space="preserve">购买、使用超声诊断仪，应当将超声诊断仪的类型、数量、使用场所报所在地县级卫生行政部门备案。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lang w:eastAsia="zh-CN"/>
        </w:rPr>
      </w:pPr>
      <w:r>
        <w:rPr>
          <w:rFonts w:hint="eastAsia"/>
          <w:lang w:eastAsia="zh-CN"/>
        </w:rPr>
        <w:t xml:space="preserve">超声诊疗工作场所应当有禁止非法进行胎儿性别鉴定的醒目标识。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lang w:eastAsia="zh-CN"/>
        </w:rPr>
      </w:pPr>
      <w:r>
        <w:rPr>
          <w:rFonts w:hint="eastAsia" w:eastAsia="黑体"/>
          <w:lang w:eastAsia="zh-CN"/>
        </w:rPr>
        <w:t>第六条</w:t>
      </w:r>
      <w:r>
        <w:rPr>
          <w:rFonts w:hint="eastAsia"/>
          <w:lang w:eastAsia="zh-CN"/>
        </w:rPr>
        <w:t xml:space="preserve">　任何单位和个人不得组织、介绍妊娠妇女进行非医学需要的胎儿性别鉴定或者选择性别的人工终止妊娠手术。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eastAsia="黑体"/>
          <w:lang w:eastAsia="zh-CN"/>
        </w:rPr>
        <w:t>第七条</w:t>
      </w:r>
      <w:r>
        <w:rPr>
          <w:rFonts w:hint="eastAsia"/>
          <w:lang w:eastAsia="zh-CN"/>
        </w:rPr>
        <w:t xml:space="preserve">　医疗保健机构、计划生育技术服务机构开展终止妊娠手术业务，分别由县级以上卫生行政部门、设区的市级以上计划生育行政部门批准，并向同级药品监督管理部门通报。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lang w:eastAsia="zh-CN"/>
        </w:rPr>
      </w:pPr>
      <w:r>
        <w:rPr>
          <w:rFonts w:hint="eastAsia"/>
          <w:lang w:eastAsia="zh-CN"/>
        </w:rPr>
        <w:t xml:space="preserve">未获批准的单位和个人不得进行终止妊娠手术。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eastAsia="黑体"/>
          <w:lang w:eastAsia="zh-CN"/>
        </w:rPr>
        <w:t>第八条</w:t>
      </w:r>
      <w:r>
        <w:rPr>
          <w:rFonts w:hint="eastAsia"/>
          <w:lang w:eastAsia="zh-CN"/>
        </w:rPr>
        <w:t xml:space="preserve">　符合法定生育条件妊娠十四周以上的妇女，不得人工终止妊娠，有下列情形之一的除外：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lang w:eastAsia="zh-CN"/>
        </w:rPr>
        <w:t xml:space="preserve">（一）胎儿患严重遗传性疾病的；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lang w:eastAsia="zh-CN"/>
        </w:rPr>
        <w:t xml:space="preserve">（二）胎儿有严重缺陷的；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lang w:eastAsia="zh-CN"/>
        </w:rPr>
        <w:t xml:space="preserve">（三）患严重疾病继续妊娠可能危及孕妇生命安全或者严重危害孕妇健康的；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lang w:eastAsia="zh-CN"/>
        </w:rPr>
        <w:t xml:space="preserve">（四）离异、丧偶等需要终止妊娠的。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lang w:eastAsia="zh-CN"/>
        </w:rPr>
        <w:t xml:space="preserve">有前款第（一）、（二）、（三）项情形之一的，应当提供具有开展产前诊断资格的医疗保健机构出具的医学诊断结果；有第（四）项情形的，应当提供离婚证明、配偶死亡证明或者乡（镇）人民政府、街道办事处计划生育工作机构出具的同意终止妊娠证明。医疗保健机构、计划生育技术服务机构应当在手术前查验、登记，并定期向所在地县级计划生育行政部门报告。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lang w:eastAsia="zh-CN"/>
        </w:rPr>
      </w:pPr>
      <w:r>
        <w:rPr>
          <w:rFonts w:hint="eastAsia"/>
          <w:lang w:eastAsia="zh-CN"/>
        </w:rPr>
        <w:t xml:space="preserve">有本条第一款第（三）项情形需要紧急终止妊娠的，实施终止妊娠手术的机构可以根据诊断结果实施手术，并在四十八小时内向其所在地县级计划生育行政部门报告。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lang w:eastAsia="zh-CN"/>
        </w:rPr>
      </w:pPr>
      <w:r>
        <w:rPr>
          <w:rFonts w:hint="eastAsia" w:eastAsia="黑体"/>
          <w:lang w:eastAsia="zh-CN"/>
        </w:rPr>
        <w:t>第九条</w:t>
      </w:r>
      <w:r>
        <w:rPr>
          <w:rFonts w:hint="eastAsia"/>
          <w:lang w:eastAsia="zh-CN"/>
        </w:rPr>
        <w:t xml:space="preserve">　不符合法定生育条件妊娠十四周以上的妇女要求终止妊娠的，应当提供相关身份证明。已婚的，还应当提供乡（镇）人民政府、街道办事处计划生育工作机构出具的婚育证明。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lang w:eastAsia="zh-CN"/>
        </w:rPr>
      </w:pPr>
      <w:r>
        <w:rPr>
          <w:rFonts w:hint="eastAsia" w:eastAsia="黑体"/>
          <w:lang w:eastAsia="zh-CN"/>
        </w:rPr>
        <w:t>第十条</w:t>
      </w:r>
      <w:r>
        <w:rPr>
          <w:rFonts w:hint="eastAsia"/>
          <w:lang w:eastAsia="zh-CN"/>
        </w:rPr>
        <w:t xml:space="preserve">　计划生育行政部门、计划生育技术服务机构应当建立孕情检查制度，及时掌握孕情，做好经常性访视、咨询等服务工作。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eastAsia="黑体"/>
          <w:lang w:eastAsia="zh-CN"/>
        </w:rPr>
        <w:t>第十一条</w:t>
      </w:r>
      <w:r>
        <w:rPr>
          <w:rFonts w:hint="eastAsia"/>
          <w:lang w:eastAsia="zh-CN"/>
        </w:rPr>
        <w:t xml:space="preserve">　开展接生的医疗保健机构应当建立接生登记制度，每月向所在地县级卫生行政部门书面报告接生登记情况，由卫生行政部门汇总后向同级计划生育行政部门通报。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lang w:eastAsia="zh-CN"/>
        </w:rPr>
      </w:pPr>
      <w:r>
        <w:rPr>
          <w:rFonts w:hint="eastAsia"/>
          <w:lang w:eastAsia="zh-CN"/>
        </w:rPr>
        <w:t xml:space="preserve">禁止谎报、瞒报新生儿死亡。新生儿在医疗保健机构以外地点死亡的，监护人应当在二十四小时内向所在地村（居）民委员会报告，所在地村（居）民委员会应当立即向乡（镇）人民政府、街道办事处报告；必要时，乡（镇）人民政府、街道办事处会同所在地计划生育技术服务机构予以核查，当事人应当予以配合并提供相关证据。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eastAsia="黑体"/>
          <w:lang w:eastAsia="zh-CN"/>
        </w:rPr>
        <w:t>第十二条</w:t>
      </w:r>
      <w:r>
        <w:rPr>
          <w:rFonts w:hint="eastAsia"/>
          <w:lang w:eastAsia="zh-CN"/>
        </w:rPr>
        <w:t xml:space="preserve">　终止妊娠的药品，仅限于在获准施行终止妊娠手术的医疗保健机构和计划生育技术服务机构使用。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lang w:eastAsia="zh-CN"/>
        </w:rPr>
        <w:t xml:space="preserve">药品零售企业不得销售终止妊娠药品。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lang w:eastAsia="zh-CN"/>
        </w:rPr>
      </w:pPr>
      <w:r>
        <w:rPr>
          <w:rFonts w:hint="eastAsia"/>
          <w:lang w:eastAsia="zh-CN"/>
        </w:rPr>
        <w:t xml:space="preserve">终止妊娠药品目录由省药品监督管理部门公布。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eastAsia="黑体"/>
          <w:lang w:eastAsia="zh-CN"/>
        </w:rPr>
        <w:t>第十三条</w:t>
      </w:r>
      <w:r>
        <w:rPr>
          <w:rFonts w:hint="eastAsia"/>
          <w:lang w:eastAsia="zh-CN"/>
        </w:rPr>
        <w:t xml:space="preserve">　药品的生产、批发企业不得将终止妊娠药品销售给未获准施行终止妊娠手术的机构和个人。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lang w:eastAsia="zh-CN"/>
        </w:rPr>
      </w:pPr>
      <w:r>
        <w:rPr>
          <w:rFonts w:hint="eastAsia"/>
          <w:lang w:eastAsia="zh-CN"/>
        </w:rPr>
        <w:t xml:space="preserve">药品的生产、批发企业销售终止妊娠药品时，应当核查购药者的资格证明，并有真实完整的购销记录。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lang w:eastAsia="zh-CN"/>
        </w:rPr>
      </w:pPr>
      <w:r>
        <w:rPr>
          <w:rFonts w:hint="eastAsia" w:eastAsia="黑体"/>
          <w:lang w:eastAsia="zh-CN"/>
        </w:rPr>
        <w:t>第十四条</w:t>
      </w:r>
      <w:r>
        <w:rPr>
          <w:rFonts w:hint="eastAsia"/>
          <w:lang w:eastAsia="zh-CN"/>
        </w:rPr>
        <w:t xml:space="preserve">　施行终止妊娠手术的机构，应当有真实完整的终止妊娠药品购买、使用记录。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lang w:eastAsia="zh-CN"/>
        </w:rPr>
      </w:pPr>
      <w:r>
        <w:rPr>
          <w:rFonts w:hint="eastAsia" w:eastAsia="黑体"/>
          <w:lang w:eastAsia="zh-CN"/>
        </w:rPr>
        <w:t>第十五条</w:t>
      </w:r>
      <w:r>
        <w:rPr>
          <w:rFonts w:hint="eastAsia"/>
          <w:lang w:eastAsia="zh-CN"/>
        </w:rPr>
        <w:t xml:space="preserve">　鼓励公民举报非法胎儿性别鉴定、选择性别的终止妊娠手术、非法销售或者使用终止妊娠药品等违法行为，有关部门对举报者应当予以保密。对举报内容属实的，所在地县级计划生育行政部门应当给予物质奖励。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lang w:eastAsia="zh-CN"/>
        </w:rPr>
      </w:pPr>
      <w:r>
        <w:rPr>
          <w:rFonts w:hint="eastAsia" w:eastAsia="黑体"/>
          <w:lang w:eastAsia="zh-CN"/>
        </w:rPr>
        <w:t>第十六条</w:t>
      </w:r>
      <w:r>
        <w:rPr>
          <w:rFonts w:hint="eastAsia"/>
          <w:lang w:eastAsia="zh-CN"/>
        </w:rPr>
        <w:t xml:space="preserve">　违反本条例第三条第一款、第四条第三款、第七条第二款规定的，由县级以上计划生育或者卫生行政部门依据职权责令改正，给予警告，没收违法所得；没有违法所得或者违法所得不足一万元的，处一万元以上三万元以下的罚款；违法所得一万元以上的，处违法所得二倍以上六倍以下的罚款；情节严重的，吊销执业证书。构成犯罪的，依法追究刑事责任。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lang w:eastAsia="zh-CN"/>
        </w:rPr>
      </w:pPr>
      <w:r>
        <w:rPr>
          <w:rFonts w:hint="eastAsia" w:eastAsia="黑体"/>
          <w:lang w:eastAsia="zh-CN"/>
        </w:rPr>
        <w:t>第十七条</w:t>
      </w:r>
      <w:r>
        <w:rPr>
          <w:rFonts w:hint="eastAsia"/>
          <w:lang w:eastAsia="zh-CN"/>
        </w:rPr>
        <w:t xml:space="preserve">　违反本条例第五条第一款规定使用超声诊断仪的，由县级以上卫生行政部门没收违法所得和器械，并处一万元以上三万元以下的罚款；情节严重的，吊销许可证。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lang w:eastAsia="zh-CN"/>
        </w:rPr>
      </w:pPr>
      <w:r>
        <w:rPr>
          <w:rFonts w:hint="eastAsia" w:eastAsia="黑体"/>
          <w:lang w:eastAsia="zh-CN"/>
        </w:rPr>
        <w:t>第十八条</w:t>
      </w:r>
      <w:r>
        <w:rPr>
          <w:rFonts w:hint="eastAsia"/>
          <w:lang w:eastAsia="zh-CN"/>
        </w:rPr>
        <w:t xml:space="preserve">　违反本条例第六条规定的，由县级以上计划生育行政部门没收违法所得，并处三千元以上二万元以下的罚款；情节严重的，处二万元以上六万元以下的罚款；属国家工作人员的，还应当由其所在单位或者主管部门给予行政处分。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eastAsia="黑体"/>
          <w:lang w:eastAsia="zh-CN"/>
        </w:rPr>
        <w:t>第十九条</w:t>
      </w:r>
      <w:r>
        <w:rPr>
          <w:rFonts w:hint="eastAsia"/>
          <w:lang w:eastAsia="zh-CN"/>
        </w:rPr>
        <w:t xml:space="preserve">　违反本条例第八条第一款规定的，或者违反第十一条第二款规定未及时报告的，由乡（镇）人民政府、街道办事处或者县级计划生育行政部门给予批评教育，对新生儿死亡证据无法查实的，一年内不批准生育。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lang w:eastAsia="zh-CN"/>
        </w:rPr>
      </w:pPr>
      <w:r>
        <w:rPr>
          <w:rFonts w:hint="eastAsia"/>
          <w:lang w:eastAsia="zh-CN"/>
        </w:rPr>
        <w:t xml:space="preserve">符合法定生育条件的妊娠妇女非医学需要选择性别人工终止妊娠的，或者选择性别造成新生儿死亡的，由县级以上计划生育行政部门收回生育服务证；对持有第一孩生育服务证的，三至五年内不批准生育；对持有再生育服务证的，不批准再生育申请，并责成当事人落实一项长效节育措施。构成犯罪的，依法追究刑事责任。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lang w:eastAsia="zh-CN"/>
        </w:rPr>
      </w:pPr>
      <w:r>
        <w:rPr>
          <w:rFonts w:hint="eastAsia" w:eastAsia="黑体"/>
          <w:lang w:eastAsia="zh-CN"/>
        </w:rPr>
        <w:t>第二十条</w:t>
      </w:r>
      <w:r>
        <w:rPr>
          <w:rFonts w:hint="eastAsia"/>
          <w:lang w:eastAsia="zh-CN"/>
        </w:rPr>
        <w:t xml:space="preserve">　违反本条例第十二条第一款、第二款规定的，由县级以上药品监督管理部门责令改正，给予警告，没收违法所得，并处违法销售、使用的药品（包括已售出的和未售出的）货值金额二倍以上五倍以下的罚款；情节严重的，吊销许可证。构成犯罪的，依法追究刑事责任。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lang w:eastAsia="zh-CN"/>
        </w:rPr>
      </w:pPr>
      <w:r>
        <w:rPr>
          <w:rFonts w:hint="eastAsia" w:eastAsia="黑体"/>
          <w:lang w:eastAsia="zh-CN"/>
        </w:rPr>
        <w:t>第二十一条</w:t>
      </w:r>
      <w:r>
        <w:rPr>
          <w:rFonts w:hint="eastAsia"/>
          <w:lang w:eastAsia="zh-CN"/>
        </w:rPr>
        <w:t xml:space="preserve">　违反本条例第十三条第一款规定的，由县级以上药品监督管理部门没收违法所得，并处二万元以上五万元以下的罚款；情节严重的，吊销许可证。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eastAsia="黑体"/>
          <w:lang w:eastAsia="zh-CN"/>
        </w:rPr>
        <w:t>第二十二条</w:t>
      </w:r>
      <w:r>
        <w:rPr>
          <w:rFonts w:hint="eastAsia"/>
          <w:lang w:eastAsia="zh-CN"/>
        </w:rPr>
        <w:t xml:space="preserve">　医疗保健机构、计划生育技术服务机构违反本条例有关规定的，由县级以上卫生或者计划生育行政部门依据职权对直接负责的主管人员和其他直接责任人员予以行政处分。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lang w:eastAsia="zh-CN"/>
        </w:rPr>
      </w:pPr>
      <w:r>
        <w:rPr>
          <w:rFonts w:hint="eastAsia"/>
          <w:lang w:eastAsia="zh-CN"/>
        </w:rPr>
        <w:t xml:space="preserve">计划生育、卫生、药品监督管理等行政部门的工作人员，违反本条例有关规定，玩忽职守、徇私舞弊、滥用职权的，由其所在单位或者主管部门给予行政处分。构成犯罪的，依法追究刑事责任。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eastAsia="黑体"/>
          <w:lang w:eastAsia="zh-CN"/>
        </w:rPr>
        <w:t>第二十三条</w:t>
      </w:r>
      <w:r>
        <w:rPr>
          <w:rFonts w:hint="eastAsia"/>
          <w:lang w:eastAsia="zh-CN"/>
        </w:rPr>
        <w:t xml:space="preserve">　本条例自2003年11月1日起施行。1996年5月31日福建省第八届人民代表大会常务委员会第二十三次会议通过的《福建省禁止非医学需要鉴定胎儿性别的规定》同时废止。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p>
    <w:sectPr>
      <w:footerReference r:id="rId3" w:type="default"/>
      <w:footerReference r:id="rId4" w:type="even"/>
      <w:pgSz w:w="11906" w:h="16838"/>
      <w:pgMar w:top="2098" w:right="1474" w:bottom="1984" w:left="1587" w:header="851" w:footer="1701" w:gutter="0"/>
      <w:cols w:space="0" w:num="1"/>
      <w:rtlGutter w:val="0"/>
      <w:docGrid w:type="linesAndChars" w:linePitch="574" w:charSpace="-16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Calibri Light">
    <w:altName w:val="Calibri"/>
    <w:panose1 w:val="020F0302020204030204"/>
    <w:charset w:val="00"/>
    <w:family w:val="auto"/>
    <w:pitch w:val="default"/>
    <w:sig w:usb0="00000000" w:usb1="00000000" w:usb2="00000000" w:usb3="00000000" w:csb0="2000019F" w:csb1="00000000"/>
  </w:font>
  <w:font w:name="仿宋">
    <w:altName w:val="Arial Unicode MS"/>
    <w:panose1 w:val="02010609060101010101"/>
    <w:charset w:val="86"/>
    <w:family w:val="auto"/>
    <w:pitch w:val="default"/>
    <w:sig w:usb0="00000000" w:usb1="00000000" w:usb2="00000016" w:usb3="00000000" w:csb0="00040001" w:csb1="00000000"/>
  </w:font>
  <w:font w:name="Garamond">
    <w:panose1 w:val="02020404030301010803"/>
    <w:charset w:val="00"/>
    <w:family w:val="auto"/>
    <w:pitch w:val="default"/>
    <w:sig w:usb0="00000287" w:usb1="00000000" w:usb2="00000000" w:usb3="00000000" w:csb0="0000009F" w:csb1="DFD70000"/>
  </w:font>
  <w:font w:name="方正仿宋繁体">
    <w:altName w:val="仿宋_GB2312"/>
    <w:panose1 w:val="02010601030101010101"/>
    <w:charset w:val="86"/>
    <w:family w:val="auto"/>
    <w:pitch w:val="default"/>
    <w:sig w:usb0="00000000" w:usb1="00000000" w:usb2="00000000" w:usb3="00000000" w:csb0="00040000" w:csb1="00000000"/>
  </w:font>
  <w:font w:name="方正仿宋简体">
    <w:altName w:val="Arial Unicode MS"/>
    <w:panose1 w:val="02010601030101010101"/>
    <w:charset w:val="86"/>
    <w:family w:val="auto"/>
    <w:pitch w:val="default"/>
    <w:sig w:usb0="00000000" w:usb1="00000000" w:usb2="00000000" w:usb3="00000000" w:csb0="00040000" w:csb1="00000000"/>
  </w:font>
  <w:font w:name="方正仿宋_GBK">
    <w:altName w:val="Arial Unicode MS"/>
    <w:panose1 w:val="03000509000000000000"/>
    <w:charset w:val="86"/>
    <w:family w:val="auto"/>
    <w:pitch w:val="default"/>
    <w:sig w:usb0="00000000" w:usb1="00000000" w:usb2="00000000" w:usb3="00000000" w:csb0="00040000" w:csb1="00000000"/>
  </w:font>
  <w:font w:name="方正书宋繁体">
    <w:altName w:val="宋体"/>
    <w:panose1 w:val="02010601030101010101"/>
    <w:charset w:val="86"/>
    <w:family w:val="auto"/>
    <w:pitch w:val="default"/>
    <w:sig w:usb0="00000000" w:usb1="00000000" w:usb2="00000000" w:usb3="00000000" w:csb0="00040000" w:csb1="00000000"/>
  </w:font>
  <w:font w:name="方正书宋简体">
    <w:altName w:val="宋体"/>
    <w:panose1 w:val="02010601030101010101"/>
    <w:charset w:val="86"/>
    <w:family w:val="auto"/>
    <w:pitch w:val="default"/>
    <w:sig w:usb0="00000000" w:usb1="00000000" w:usb2="00000000" w:usb3="00000000" w:csb0="00040000" w:csb1="00000000"/>
  </w:font>
  <w:font w:name="方正书宋_GBK">
    <w:altName w:val="Arial Unicode MS"/>
    <w:panose1 w:val="03000509000000000000"/>
    <w:charset w:val="86"/>
    <w:family w:val="auto"/>
    <w:pitch w:val="default"/>
    <w:sig w:usb0="00000000" w:usb1="00000000" w:usb2="00000000" w:usb3="00000000" w:csb0="00040000" w:csb1="00000000"/>
  </w:font>
  <w:font w:name="方正中等线繁体">
    <w:altName w:val="宋体"/>
    <w:panose1 w:val="03000509000000000000"/>
    <w:charset w:val="86"/>
    <w:family w:val="auto"/>
    <w:pitch w:val="default"/>
    <w:sig w:usb0="00000000" w:usb1="00000000" w:usb2="00000000" w:usb3="00000000" w:csb0="00040000" w:csb1="00000000"/>
  </w:font>
  <w:font w:name="方正中等线简体">
    <w:altName w:val="宋体"/>
    <w:panose1 w:val="02010601030101010101"/>
    <w:charset w:val="86"/>
    <w:family w:val="auto"/>
    <w:pitch w:val="default"/>
    <w:sig w:usb0="00000000" w:usb1="00000000" w:usb2="00000000" w:usb3="00000000" w:csb0="00040000" w:csb1="00000000"/>
  </w:font>
  <w:font w:name="方正中等线_GBK">
    <w:altName w:val="宋体"/>
    <w:panose1 w:val="03000509000000000000"/>
    <w:charset w:val="86"/>
    <w:family w:val="auto"/>
    <w:pitch w:val="default"/>
    <w:sig w:usb0="00000000" w:usb1="00000000" w:usb2="00000000" w:usb3="00000000" w:csb0="00040000" w:csb1="00000000"/>
  </w:font>
  <w:font w:name="方正中楷繁体">
    <w:altName w:val="楷体_GB2312"/>
    <w:panose1 w:val="02010601030101010101"/>
    <w:charset w:val="86"/>
    <w:family w:val="auto"/>
    <w:pitch w:val="default"/>
    <w:sig w:usb0="00000000" w:usb1="00000000" w:usb2="00000000" w:usb3="00000000" w:csb0="00040000" w:csb1="00000000"/>
  </w:font>
  <w:font w:name="方正中倩繁体">
    <w:altName w:val="宋体"/>
    <w:panose1 w:val="03000509000000000000"/>
    <w:charset w:val="86"/>
    <w:family w:val="auto"/>
    <w:pitch w:val="default"/>
    <w:sig w:usb0="00000000" w:usb1="00000000" w:usb2="00000000" w:usb3="00000000" w:csb0="00040000" w:csb1="00000000"/>
  </w:font>
  <w:font w:name="方正中倩简体">
    <w:altName w:val="宋体"/>
    <w:panose1 w:val="03000509000000000000"/>
    <w:charset w:val="86"/>
    <w:family w:val="auto"/>
    <w:pitch w:val="default"/>
    <w:sig w:usb0="00000000" w:usb1="00000000" w:usb2="00000000" w:usb3="00000000" w:csb0="00040000" w:csb1="00000000"/>
  </w:font>
  <w:font w:name="方正中倩_GBK">
    <w:altName w:val="宋体"/>
    <w:panose1 w:val="03000509000000000000"/>
    <w:charset w:val="86"/>
    <w:family w:val="auto"/>
    <w:pitch w:val="default"/>
    <w:sig w:usb0="00000000" w:usb1="00000000" w:usb2="00000000" w:usb3="00000000" w:csb0="00040000" w:csb1="00000000"/>
  </w:font>
  <w:font w:name="新宋体">
    <w:panose1 w:val="02010609030101010101"/>
    <w:charset w:val="86"/>
    <w:family w:val="auto"/>
    <w:pitch w:val="default"/>
    <w:sig w:usb0="00000003" w:usb1="080E0000" w:usb2="00000000" w:usb3="00000000" w:csb0="00040001" w:csb1="00000000"/>
  </w:font>
  <w:font w:name="微软雅黑">
    <w:panose1 w:val="020B0503020204020204"/>
    <w:charset w:val="86"/>
    <w:family w:val="auto"/>
    <w:pitch w:val="default"/>
    <w:sig w:usb0="80000287" w:usb1="280F3C52" w:usb2="00000016" w:usb3="00000000" w:csb0="0004001F" w:csb1="00000000"/>
  </w:font>
  <w:font w:name="Palatino Linotype">
    <w:panose1 w:val="02040502050505030304"/>
    <w:charset w:val="00"/>
    <w:family w:val="auto"/>
    <w:pitch w:val="default"/>
    <w:sig w:usb0="E0000387" w:usb1="40000013" w:usb2="00000000" w:usb3="00000000" w:csb0="2000019F" w:csb1="00000000"/>
  </w:font>
  <w:font w:name="Arial">
    <w:panose1 w:val="020B0604020202020204"/>
    <w:charset w:val="00"/>
    <w:family w:val="auto"/>
    <w:pitch w:val="default"/>
    <w:sig w:usb0="00007A87" w:usb1="80000000" w:usb2="00000008" w:usb3="00000000" w:csb0="400001FF" w:csb1="FFFF0000"/>
  </w:font>
  <w:font w:name="楷体">
    <w:altName w:val="楷体_GB2312"/>
    <w:panose1 w:val="02010609060101010101"/>
    <w:charset w:val="86"/>
    <w:family w:val="auto"/>
    <w:pitch w:val="default"/>
    <w:sig w:usb0="00000000" w:usb1="00000000" w:usb2="00000016" w:usb3="00000000" w:csb0="00040001" w:csb1="00000000"/>
  </w:font>
  <w:font w:name="+西文正文">
    <w:altName w:val="Courier New"/>
    <w:panose1 w:val="00000000000000000000"/>
    <w:charset w:val="00"/>
    <w:family w:val="auto"/>
    <w:pitch w:val="default"/>
    <w:sig w:usb0="00000000" w:usb1="00000000" w:usb2="00000000" w:usb3="00000000" w:csb0="00000000" w:csb1="00000000"/>
  </w:font>
  <w:font w:name="Segoe Print">
    <w:altName w:val="Verdana"/>
    <w:panose1 w:val="02000600000000000000"/>
    <w:charset w:val="00"/>
    <w:family w:val="auto"/>
    <w:pitch w:val="default"/>
    <w:sig w:usb0="00000000" w:usb1="00000000" w:usb2="00000000" w:usb3="00000000" w:csb0="2000009F" w:csb1="47010000"/>
  </w:font>
  <w:font w:name="SimSun-ExtB">
    <w:altName w:val="宋体"/>
    <w:panose1 w:val="02010609060101010101"/>
    <w:charset w:val="86"/>
    <w:family w:val="auto"/>
    <w:pitch w:val="default"/>
    <w:sig w:usb0="00000000" w:usb1="00000000" w:usb2="00000000" w:usb3="00000000" w:csb0="00040001" w:csb1="00000000"/>
  </w:font>
  <w:font w:name="Aharoni">
    <w:altName w:val="Tw Cen MT Condensed Extra Bold"/>
    <w:panose1 w:val="02010803020104030203"/>
    <w:charset w:val="00"/>
    <w:family w:val="auto"/>
    <w:pitch w:val="default"/>
    <w:sig w:usb0="00000000" w:usb1="00000000" w:usb2="00000000" w:usb3="00000000" w:csb0="00000020" w:csb1="00200000"/>
  </w:font>
  <w:font w:name="Andalus">
    <w:altName w:val="Times New Roman"/>
    <w:panose1 w:val="02020603050405020304"/>
    <w:charset w:val="00"/>
    <w:family w:val="auto"/>
    <w:pitch w:val="default"/>
    <w:sig w:usb0="00000000" w:usb1="00000000" w:usb2="00000008" w:usb3="00000000" w:csb0="00000041" w:csb1="20080000"/>
  </w:font>
  <w:font w:name="Angsana New">
    <w:altName w:val="Times New Roman"/>
    <w:panose1 w:val="02020603050405020304"/>
    <w:charset w:val="00"/>
    <w:family w:val="auto"/>
    <w:pitch w:val="default"/>
    <w:sig w:usb0="00000000" w:usb1="00000000" w:usb2="00000000" w:usb3="00000000" w:csb0="00010001" w:csb1="00000000"/>
  </w:font>
  <w:font w:name="AngsanaUPC">
    <w:altName w:val="Times New Roman"/>
    <w:panose1 w:val="02020603050405020304"/>
    <w:charset w:val="00"/>
    <w:family w:val="auto"/>
    <w:pitch w:val="default"/>
    <w:sig w:usb0="00000000" w:usb1="00000000" w:usb2="00000000" w:usb3="00000000" w:csb0="00010001" w:csb1="00000000"/>
  </w:font>
  <w:font w:name="Aparajita">
    <w:altName w:val="Microsoft Sans Serif"/>
    <w:panose1 w:val="020B0604020202020204"/>
    <w:charset w:val="00"/>
    <w:family w:val="auto"/>
    <w:pitch w:val="default"/>
    <w:sig w:usb0="00000000" w:usb1="00000000" w:usb2="00000000" w:usb3="00000000" w:csb0="00000001" w:csb1="00000000"/>
  </w:font>
  <w:font w:name="Arabic Typesetting">
    <w:altName w:val="French Script MT"/>
    <w:panose1 w:val="03020402040406030203"/>
    <w:charset w:val="00"/>
    <w:family w:val="auto"/>
    <w:pitch w:val="default"/>
    <w:sig w:usb0="00000000" w:usb1="00000000" w:usb2="00000008" w:usb3="00000000" w:csb0="200000D3" w:csb1="00000000"/>
  </w:font>
  <w:font w:name="Arial Black">
    <w:panose1 w:val="020B0A04020102020204"/>
    <w:charset w:val="00"/>
    <w:family w:val="auto"/>
    <w:pitch w:val="default"/>
    <w:sig w:usb0="00000287" w:usb1="00000000" w:usb2="00000000" w:usb3="00000000" w:csb0="2000009F" w:csb1="DFD70000"/>
  </w:font>
  <w:font w:name="Arial Narrow">
    <w:panose1 w:val="020B0606020202030204"/>
    <w:charset w:val="00"/>
    <w:family w:val="auto"/>
    <w:pitch w:val="default"/>
    <w:sig w:usb0="00000287" w:usb1="00000800" w:usb2="00000000" w:usb3="00000000" w:csb0="2000009F" w:csb1="DFD70000"/>
  </w:font>
  <w:font w:name="Bookman Old Style">
    <w:panose1 w:val="02050604050505020204"/>
    <w:charset w:val="00"/>
    <w:family w:val="auto"/>
    <w:pitch w:val="default"/>
    <w:sig w:usb0="00000287" w:usb1="00000000" w:usb2="00000000" w:usb3="00000000" w:csb0="2000009F" w:csb1="DFD70000"/>
  </w:font>
  <w:font w:name="Bookshelf Symbol 7">
    <w:panose1 w:val="05010101010101010101"/>
    <w:charset w:val="00"/>
    <w:family w:val="auto"/>
    <w:pitch w:val="default"/>
    <w:sig w:usb0="00000000" w:usb1="00000000" w:usb2="00000000" w:usb3="00000000" w:csb0="80000000" w:csb1="00000000"/>
  </w:font>
  <w:font w:name="Browallia New">
    <w:altName w:val="Microsoft Sans Serif"/>
    <w:panose1 w:val="020B0604020202020204"/>
    <w:charset w:val="00"/>
    <w:family w:val="auto"/>
    <w:pitch w:val="default"/>
    <w:sig w:usb0="00000000" w:usb1="00000000" w:usb2="00000000" w:usb3="00000000" w:csb0="00010001" w:csb1="00000000"/>
  </w:font>
  <w:font w:name="BrowalliaUPC">
    <w:altName w:val="Microsoft Sans Serif"/>
    <w:panose1 w:val="020B0604020202020204"/>
    <w:charset w:val="00"/>
    <w:family w:val="auto"/>
    <w:pitch w:val="default"/>
    <w:sig w:usb0="00000000" w:usb1="00000000" w:usb2="00000000" w:usb3="00000000" w:csb0="00010001" w:csb1="00000000"/>
  </w:font>
  <w:font w:name="Cambria Math">
    <w:panose1 w:val="02040503050406030204"/>
    <w:charset w:val="00"/>
    <w:family w:val="auto"/>
    <w:pitch w:val="default"/>
    <w:sig w:usb0="E00002FF" w:usb1="420024FF" w:usb2="00000000" w:usb3="00000000" w:csb0="2000019F" w:csb1="00000000"/>
  </w:font>
  <w:font w:name="Constantia">
    <w:panose1 w:val="02030602050306030303"/>
    <w:charset w:val="00"/>
    <w:family w:val="auto"/>
    <w:pitch w:val="default"/>
    <w:sig w:usb0="A00002EF" w:usb1="4000204B" w:usb2="00000000" w:usb3="00000000" w:csb0="2000019F" w:csb1="00000000"/>
  </w:font>
  <w:font w:name="Consolas">
    <w:panose1 w:val="020B0609020204030204"/>
    <w:charset w:val="00"/>
    <w:family w:val="auto"/>
    <w:pitch w:val="default"/>
    <w:sig w:usb0="E10002FF" w:usb1="4000FCFF" w:usb2="00000009" w:usb3="00000000" w:csb0="6000019F" w:csb1="DFD70000"/>
  </w:font>
  <w:font w:name="CordiaUPC">
    <w:altName w:val="Microsoft Sans Serif"/>
    <w:panose1 w:val="020B0304020202020204"/>
    <w:charset w:val="00"/>
    <w:family w:val="auto"/>
    <w:pitch w:val="default"/>
    <w:sig w:usb0="00000000" w:usb1="00000000" w:usb2="00000000" w:usb3="00000000" w:csb0="00010001" w:csb1="00000000"/>
  </w:font>
  <w:font w:name="David">
    <w:altName w:val="Maiandra GD"/>
    <w:panose1 w:val="020E0502060401010101"/>
    <w:charset w:val="00"/>
    <w:family w:val="auto"/>
    <w:pitch w:val="default"/>
    <w:sig w:usb0="00000000" w:usb1="00000000" w:usb2="00000000" w:usb3="00000000" w:csb0="00000020" w:csb1="00200000"/>
  </w:font>
  <w:font w:name="Gabriola">
    <w:panose1 w:val="04040605051002020D02"/>
    <w:charset w:val="00"/>
    <w:family w:val="auto"/>
    <w:pitch w:val="default"/>
    <w:sig w:usb0="E00002EF" w:usb1="5000204B" w:usb2="00000000" w:usb3="00000000" w:csb0="2000009F" w:csb1="00000000"/>
  </w:font>
  <w:font w:name="Kalinga">
    <w:altName w:val="Segoe UI"/>
    <w:panose1 w:val="020B0502040204020203"/>
    <w:charset w:val="00"/>
    <w:family w:val="auto"/>
    <w:pitch w:val="default"/>
    <w:sig w:usb0="00000000" w:usb1="00000000" w:usb2="00000000" w:usb3="00000000" w:csb0="00000001" w:csb1="00000000"/>
  </w:font>
  <w:font w:name="Iskoola Pota">
    <w:altName w:val="Segoe UI"/>
    <w:panose1 w:val="020B0502040204020203"/>
    <w:charset w:val="00"/>
    <w:family w:val="auto"/>
    <w:pitch w:val="default"/>
    <w:sig w:usb0="00000000" w:usb1="00000000" w:usb2="00000200" w:usb3="00000000" w:csb0="20000001" w:csb1="00000000"/>
  </w:font>
  <w:font w:name="Impact">
    <w:panose1 w:val="020B0806030902050204"/>
    <w:charset w:val="00"/>
    <w:family w:val="auto"/>
    <w:pitch w:val="default"/>
    <w:sig w:usb0="00000287" w:usb1="00000000" w:usb2="00000000" w:usb3="00000000" w:csb0="2000009F" w:csb1="DFD70000"/>
  </w:font>
  <w:font w:name="Arial Unicode MS">
    <w:panose1 w:val="020B0604020202020204"/>
    <w:charset w:val="86"/>
    <w:family w:val="auto"/>
    <w:pitch w:val="default"/>
    <w:sig w:usb0="FFFFFFFF" w:usb1="E9FFFFFF" w:usb2="0000003F" w:usb3="00000000" w:csb0="603F01FF" w:csb1="FFFF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 w:name="Courier New">
    <w:panose1 w:val="02070309020205020404"/>
    <w:charset w:val="00"/>
    <w:family w:val="auto"/>
    <w:pitch w:val="default"/>
    <w:sig w:usb0="00007A87" w:usb1="80000000" w:usb2="00000008" w:usb3="00000000" w:csb0="400001FF" w:csb1="FFFF0000"/>
  </w:font>
  <w:font w:name="Verdana">
    <w:panose1 w:val="020B0604030504040204"/>
    <w:charset w:val="00"/>
    <w:family w:val="auto"/>
    <w:pitch w:val="default"/>
    <w:sig w:usb0="00000287" w:usb1="00000000" w:usb2="00000000" w:usb3="00000000" w:csb0="2000019F" w:csb1="00000000"/>
  </w:font>
  <w:font w:name="Tw Cen MT Condensed Extra Bold">
    <w:panose1 w:val="020B0803020202020204"/>
    <w:charset w:val="00"/>
    <w:family w:val="auto"/>
    <w:pitch w:val="default"/>
    <w:sig w:usb0="00000003" w:usb1="00000000" w:usb2="00000000" w:usb3="00000000" w:csb0="20000003" w:csb1="00000000"/>
  </w:font>
  <w:font w:name="Microsoft Sans Serif">
    <w:panose1 w:val="020B0604020202020204"/>
    <w:charset w:val="00"/>
    <w:family w:val="auto"/>
    <w:pitch w:val="default"/>
    <w:sig w:usb0="61007BDF" w:usb1="80000000" w:usb2="00000008" w:usb3="00000000" w:csb0="200101FF" w:csb1="20280000"/>
  </w:font>
  <w:font w:name="French Script MT">
    <w:panose1 w:val="03020402040607040605"/>
    <w:charset w:val="00"/>
    <w:family w:val="auto"/>
    <w:pitch w:val="default"/>
    <w:sig w:usb0="00000003" w:usb1="00000000" w:usb2="00000000" w:usb3="00000000" w:csb0="20000001" w:csb1="00000000"/>
  </w:font>
  <w:font w:name="Maiandra GD">
    <w:panose1 w:val="020E0502030308020204"/>
    <w:charset w:val="00"/>
    <w:family w:val="auto"/>
    <w:pitch w:val="default"/>
    <w:sig w:usb0="00000003" w:usb1="00000000" w:usb2="00000000" w:usb3="00000000" w:csb0="20000001" w:csb1="00000000"/>
  </w:font>
  <w:font w:name="Segoe UI">
    <w:panose1 w:val="020B0502040204020203"/>
    <w:charset w:val="00"/>
    <w:family w:val="auto"/>
    <w:pitch w:val="default"/>
    <w:sig w:usb0="E00022FF" w:usb1="C000205B" w:usb2="00000009" w:usb3="00000000" w:csb0="200001DF" w:csb1="20080000"/>
  </w:font>
  <w:font w:name="仿宋">
    <w:altName w:val="Arial Unicode MS"/>
    <w:panose1 w:val="00000000000000000000"/>
    <w:charset w:val="86"/>
    <w:family w:val="auto"/>
    <w:pitch w:val="default"/>
    <w:sig w:usb0="00000000" w:usb1="00000000" w:usb2="00000000" w:usb3="00000000" w:csb0="00000000"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宋体-PUA">
    <w:panose1 w:val="02010600030101010101"/>
    <w:charset w:val="86"/>
    <w:family w:val="auto"/>
    <w:pitch w:val="default"/>
    <w:sig w:usb0="00000000" w:usb1="10000000" w:usb2="00000000" w:usb3="00000000" w:csb0="00040000" w:csb1="00000000"/>
  </w:font>
  <w:font w:name="宋体-方正超大字符集">
    <w:panose1 w:val="03000509000000000000"/>
    <w:charset w:val="86"/>
    <w:family w:val="auto"/>
    <w:pitch w:val="default"/>
    <w:sig w:usb0="00000001"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隶书">
    <w:panose1 w:val="02010509060101010101"/>
    <w:charset w:val="86"/>
    <w:family w:val="auto"/>
    <w:pitch w:val="default"/>
    <w:sig w:usb0="00000001" w:usb1="080E0000" w:usb2="00000000" w:usb3="00000000" w:csb0="00040000" w:csb1="00000000"/>
  </w:font>
  <w:font w:name="Dotum">
    <w:panose1 w:val="020B0600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MS UI Gothic">
    <w:panose1 w:val="020B0600070205080204"/>
    <w:charset w:val="80"/>
    <w:family w:val="auto"/>
    <w:pitch w:val="default"/>
    <w:sig w:usb0="A00002BF" w:usb1="68C7FCFB" w:usb2="00000010" w:usb3="00000000" w:csb0="4002009F" w:csb1="DFD70000"/>
  </w:font>
  <w:font w:name="MS PGothic">
    <w:panose1 w:val="020B0600070205080204"/>
    <w:charset w:val="80"/>
    <w:family w:val="auto"/>
    <w:pitch w:val="default"/>
    <w:sig w:usb0="A00002BF" w:usb1="68C7FCFB" w:usb2="00000010" w:usb3="00000000" w:csb0="4002009F" w:csb1="DFD70000"/>
  </w:font>
  <w:font w:name="Meiryo">
    <w:panose1 w:val="020B0604030504040204"/>
    <w:charset w:val="80"/>
    <w:family w:val="auto"/>
    <w:pitch w:val="default"/>
    <w:sig w:usb0="E10102FF" w:usb1="EAC7FFFF" w:usb2="00010012" w:usb3="00000000" w:csb0="6002009F" w:csb1="DFD70000"/>
  </w:font>
  <w:font w:name="DotumChe">
    <w:panose1 w:val="020B0609000101010101"/>
    <w:charset w:val="81"/>
    <w:family w:val="auto"/>
    <w:pitch w:val="default"/>
    <w:sig w:usb0="B00002AF" w:usb1="69D77CFB" w:usb2="00000030" w:usb3="00000000" w:csb0="4008009F" w:csb1="DFD70000"/>
  </w:font>
  <w:font w:name="汉仪旗黑-55S">
    <w:panose1 w:val="00020600040101010101"/>
    <w:charset w:val="86"/>
    <w:family w:val="auto"/>
    <w:pitch w:val="default"/>
    <w:sig w:usb0="A00002BF" w:usb1="18EF7CFA" w:usb2="00000016" w:usb3="00000000" w:csb0="00040000" w:csb1="00000000"/>
  </w:font>
  <w:font w:name="汉仪旗黑-55">
    <w:panose1 w:val="00020600040101010101"/>
    <w:charset w:val="86"/>
    <w:family w:val="auto"/>
    <w:pitch w:val="default"/>
    <w:sig w:usb0="A00002BF" w:usb1="18EF7CFA" w:usb2="00000016" w:usb3="00000000" w:csb0="00040000" w:csb1="00000000"/>
  </w:font>
  <w:font w:name="方正姚体">
    <w:panose1 w:val="02010601030101010101"/>
    <w:charset w:val="86"/>
    <w:family w:val="auto"/>
    <w:pitch w:val="default"/>
    <w:sig w:usb0="00000003" w:usb1="080E0000" w:usb2="00000000" w:usb3="00000000" w:csb0="00040000" w:csb1="00000000"/>
  </w:font>
  <w:font w:name="楷体">
    <w:altName w:val="楷体_GB2312"/>
    <w:panose1 w:val="00000000000000000000"/>
    <w:charset w:val="00"/>
    <w:family w:val="auto"/>
    <w:pitch w:val="default"/>
    <w:sig w:usb0="00000000" w:usb1="00000000" w:usb2="00000000" w:usb3="00000000" w:csb0="00000000" w:csb1="00000000"/>
  </w:font>
  <w:font w:name="仿宋">
    <w:altName w:val="Arial Unicode MS"/>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evenAndOddHeaders w:val="1"/>
  <w:drawingGridHorizontalSpacing w:val="156"/>
  <w:drawingGridVerticalSpacing w:val="287"/>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B2498F"/>
    <w:rsid w:val="11621F6A"/>
    <w:rsid w:val="124D1A04"/>
    <w:rsid w:val="14DF1382"/>
    <w:rsid w:val="1EA33493"/>
    <w:rsid w:val="23364216"/>
    <w:rsid w:val="271E2FC5"/>
    <w:rsid w:val="2DA01B4D"/>
    <w:rsid w:val="35BD0B30"/>
    <w:rsid w:val="3BE85E9A"/>
    <w:rsid w:val="50D0109C"/>
    <w:rsid w:val="687E7F18"/>
    <w:rsid w:val="7AB2498F"/>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仿宋_GB2312" w:asciiTheme="minorAscii" w:hAnsiTheme="minorAscii" w:cstheme="minorBidi"/>
      <w:kern w:val="2"/>
      <w:sz w:val="32"/>
      <w:szCs w:val="24"/>
      <w:lang w:val="en-US" w:eastAsia="zh-CN" w:bidi="ar-SA"/>
    </w:rPr>
  </w:style>
  <w:style w:type="paragraph" w:styleId="2">
    <w:name w:val="heading 1"/>
    <w:basedOn w:val="1"/>
    <w:next w:val="1"/>
    <w:link w:val="9"/>
    <w:qFormat/>
    <w:uiPriority w:val="0"/>
    <w:pPr>
      <w:keepNext/>
      <w:keepLines/>
      <w:spacing w:before="200" w:beforeLines="200" w:beforeAutospacing="0" w:afterLines="0" w:afterAutospacing="0" w:line="240" w:lineRule="auto"/>
      <w:jc w:val="center"/>
      <w:outlineLvl w:val="0"/>
    </w:pPr>
    <w:rPr>
      <w:rFonts w:eastAsia="宋体"/>
      <w:kern w:val="44"/>
      <w:sz w:val="44"/>
    </w:rPr>
  </w:style>
  <w:style w:type="paragraph" w:styleId="3">
    <w:name w:val="heading 2"/>
    <w:basedOn w:val="1"/>
    <w:next w:val="1"/>
    <w:unhideWhenUsed/>
    <w:qFormat/>
    <w:uiPriority w:val="0"/>
    <w:pPr>
      <w:keepNext/>
      <w:keepLines/>
      <w:tabs>
        <w:tab w:val="left" w:pos="420"/>
      </w:tabs>
      <w:spacing w:before="100" w:beforeLines="100" w:beforeAutospacing="0" w:afterLines="0" w:afterAutospacing="0" w:line="240" w:lineRule="auto"/>
      <w:ind w:left="624" w:leftChars="200" w:right="624" w:rightChars="200" w:firstLine="0" w:firstLineChars="0"/>
      <w:outlineLvl w:val="1"/>
    </w:pPr>
    <w:rPr>
      <w:rFonts w:ascii="Arial" w:hAnsi="Arial" w:eastAsia="楷体_GB2312"/>
    </w:rPr>
  </w:style>
  <w:style w:type="paragraph" w:styleId="4">
    <w:name w:val="heading 3"/>
    <w:basedOn w:val="1"/>
    <w:next w:val="1"/>
    <w:unhideWhenUsed/>
    <w:qFormat/>
    <w:uiPriority w:val="0"/>
    <w:pPr>
      <w:keepNext/>
      <w:keepLines/>
      <w:spacing w:before="100" w:beforeLines="100" w:beforeAutospacing="0" w:after="100" w:afterLines="100" w:afterAutospacing="0" w:line="240" w:lineRule="auto"/>
      <w:jc w:val="center"/>
      <w:outlineLvl w:val="2"/>
    </w:pPr>
    <w:rPr>
      <w:rFonts w:eastAsia="黑体" w:asciiTheme="minorAscii" w:hAnsiTheme="minorAscii"/>
    </w:rPr>
  </w:style>
  <w:style w:type="character" w:default="1" w:styleId="7">
    <w:name w:val="Default Paragraph Font"/>
    <w:semiHidden/>
    <w:qFormat/>
    <w:uiPriority w:val="0"/>
    <w:rPr>
      <w:rFonts w:ascii="Garamond" w:hAnsi="Garamond" w:eastAsia="宋体"/>
      <w:sz w:val="32"/>
    </w:rPr>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rFonts w:ascii="宋体" w:hAnsi="宋体"/>
      <w:sz w:val="2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customStyle="1" w:styleId="9">
    <w:name w:val="标题 1 Char"/>
    <w:link w:val="2"/>
    <w:qFormat/>
    <w:uiPriority w:val="0"/>
    <w:rPr>
      <w:rFonts w:eastAsia="宋体" w:asciiTheme="minorAscii" w:hAnsiTheme="minorAscii"/>
      <w:kern w:val="44"/>
      <w:sz w:val="4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DBF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lack Tie">
      <a:maj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2017-02-04T03:50:00Z</dcterms:created>
  <dc:creator>fhgjkl</dc:creator>
  <cp:lastModifiedBy>Administrator</cp:lastModifiedBy>
  <cp:lastPrinted>2017-02-06T07:33:00Z</cp:lastPrinted>
  <dcterms:modified xsi:type="dcterms:W3CDTF">2014-02-10T01:24:26Z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