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1"/>
        <w:keepNext w:val="0"/>
        <w:keepLines w:val="0"/>
        <w:pageBreakBefore w:val="0"/>
        <w:widowControl w:val="0"/>
        <w:kinsoku/>
        <w:wordWrap/>
        <w:overflowPunct/>
        <w:topLinePunct w:val="0"/>
        <w:autoSpaceDE/>
        <w:autoSpaceDN/>
        <w:bidi w:val="0"/>
        <w:adjustRightInd w:val="0"/>
        <w:snapToGrid/>
        <w:spacing w:line="560" w:lineRule="exact"/>
        <w:ind w:right="1280" w:rightChars="400"/>
        <w:jc w:val="both"/>
        <w:textAlignment w:val="auto"/>
        <w:rPr>
          <w:rFonts w:hint="eastAsia" w:ascii="黑体" w:hAnsi="黑体" w:eastAsia="黑体" w:cs="黑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920" w:lineRule="exact"/>
        <w:ind w:left="0" w:leftChars="0" w:right="0" w:rightChars="0" w:firstLine="0" w:firstLineChars="0"/>
        <w:jc w:val="center"/>
        <w:textAlignment w:val="center"/>
        <w:outlineLvl w:val="9"/>
        <w:rPr>
          <w:rFonts w:hint="eastAsia" w:ascii="方正小标宋_GBK" w:hAnsi="方正小标宋_GBK" w:eastAsia="方正小标宋_GBK" w:cs="方正小标宋_GBK"/>
          <w:color w:val="000000"/>
          <w:spacing w:val="0"/>
          <w:sz w:val="44"/>
          <w:szCs w:val="44"/>
          <w:lang w:val="en-US" w:eastAsia="zh-CN"/>
        </w:rPr>
      </w:pPr>
      <w:bookmarkStart w:id="0" w:name="_GoBack"/>
      <w:bookmarkEnd w:id="0"/>
    </w:p>
    <w:p>
      <w:pPr>
        <w:keepNext w:val="0"/>
        <w:keepLines w:val="0"/>
        <w:pageBreakBefore w:val="0"/>
        <w:widowControl w:val="0"/>
        <w:kinsoku/>
        <w:wordWrap/>
        <w:overflowPunct/>
        <w:topLinePunct w:val="0"/>
        <w:autoSpaceDE/>
        <w:autoSpaceDN/>
        <w:bidi w:val="0"/>
        <w:adjustRightInd w:val="0"/>
        <w:snapToGrid w:val="0"/>
        <w:spacing w:beforeLines="0" w:afterLines="0" w:line="640" w:lineRule="exact"/>
        <w:jc w:val="center"/>
        <w:textAlignment w:val="auto"/>
        <w:rPr>
          <w:rFonts w:hint="eastAsia" w:ascii="方正小标宋简体" w:hAnsi="方正小标宋简体" w:eastAsia="方正小标宋简体" w:cs="方正小标宋简体"/>
          <w:b w:val="0"/>
          <w:bCs/>
          <w:color w:val="000000"/>
          <w:spacing w:val="0"/>
          <w:sz w:val="44"/>
          <w:szCs w:val="44"/>
        </w:rPr>
      </w:pPr>
      <w:r>
        <w:rPr>
          <w:rFonts w:hint="eastAsia" w:asciiTheme="minorEastAsia" w:hAnsiTheme="minorEastAsia" w:eastAsiaTheme="minorEastAsia" w:cstheme="minorEastAsia"/>
          <w:b/>
          <w:bCs w:val="0"/>
          <w:color w:val="000000"/>
          <w:spacing w:val="0"/>
          <w:sz w:val="44"/>
          <w:szCs w:val="44"/>
        </w:rPr>
        <w:t>福建省红色文化遗存保护条例</w:t>
      </w:r>
    </w:p>
    <w:p>
      <w:pPr>
        <w:keepNext w:val="0"/>
        <w:keepLines w:val="0"/>
        <w:pageBreakBefore w:val="0"/>
        <w:widowControl w:val="0"/>
        <w:kinsoku/>
        <w:wordWrap/>
        <w:overflowPunct/>
        <w:topLinePunct w:val="0"/>
        <w:autoSpaceDE/>
        <w:autoSpaceDN/>
        <w:bidi w:val="0"/>
        <w:adjustRightInd w:val="0"/>
        <w:snapToGrid w:val="0"/>
        <w:spacing w:before="156" w:beforeLines="50" w:after="0" w:afterLines="0" w:line="560" w:lineRule="exact"/>
        <w:ind w:left="0" w:leftChars="0" w:firstLine="0" w:firstLineChars="0"/>
        <w:jc w:val="center"/>
        <w:textAlignment w:val="center"/>
        <w:outlineLvl w:val="9"/>
        <w:rPr>
          <w:rFonts w:hint="eastAsia" w:ascii="楷体_GB2312" w:hAnsi="楷体_GB2312" w:eastAsia="楷体_GB2312" w:cs="楷体_GB2312"/>
          <w:color w:val="000000"/>
          <w:spacing w:val="0"/>
          <w:kern w:val="1"/>
          <w:sz w:val="32"/>
          <w:szCs w:val="32"/>
          <w:highlight w:val="none"/>
          <w:lang w:val="en-US" w:eastAsia="zh-CN" w:bidi="ar-SA"/>
        </w:rPr>
      </w:pPr>
      <w:r>
        <w:rPr>
          <w:rFonts w:hint="eastAsia" w:ascii="楷体_GB2312" w:hAnsi="楷体_GB2312" w:eastAsia="楷体_GB2312" w:cs="楷体_GB2312"/>
          <w:color w:val="000000"/>
          <w:spacing w:val="0"/>
          <w:kern w:val="1"/>
          <w:sz w:val="32"/>
          <w:szCs w:val="32"/>
          <w:highlight w:val="none"/>
          <w:lang w:val="en-US" w:eastAsia="zh-CN" w:bidi="ar-SA"/>
        </w:rPr>
        <w:t>（2022年11月24日福建省第十三届人民代表大会</w:t>
      </w:r>
    </w:p>
    <w:p>
      <w:pPr>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firstLine="0" w:firstLineChars="0"/>
        <w:jc w:val="center"/>
        <w:textAlignment w:val="center"/>
        <w:outlineLvl w:val="9"/>
        <w:rPr>
          <w:rFonts w:hint="eastAsia" w:ascii="黑体" w:hAnsi="黑体" w:eastAsia="黑体" w:cs="黑体"/>
          <w:b w:val="0"/>
          <w:bCs/>
          <w:color w:val="000000"/>
          <w:spacing w:val="0"/>
          <w:kern w:val="2"/>
          <w:sz w:val="32"/>
          <w:szCs w:val="32"/>
          <w:lang w:val="en-US" w:eastAsia="zh-CN" w:bidi="ar-SA"/>
        </w:rPr>
      </w:pPr>
      <w:r>
        <w:rPr>
          <w:rFonts w:hint="eastAsia" w:ascii="楷体_GB2312" w:hAnsi="楷体_GB2312" w:eastAsia="楷体_GB2312" w:cs="楷体_GB2312"/>
          <w:color w:val="000000"/>
          <w:spacing w:val="0"/>
          <w:kern w:val="1"/>
          <w:sz w:val="32"/>
          <w:szCs w:val="32"/>
          <w:highlight w:val="none"/>
          <w:lang w:val="en-US" w:eastAsia="zh-CN" w:bidi="ar-SA"/>
        </w:rPr>
        <w:t>常务委员会第三十六次会议通过）</w:t>
      </w:r>
    </w:p>
    <w:p>
      <w:pPr>
        <w:keepNext w:val="0"/>
        <w:keepLines w:val="0"/>
        <w:pageBreakBefore w:val="0"/>
        <w:widowControl w:val="0"/>
        <w:kinsoku/>
        <w:wordWrap/>
        <w:overflowPunct/>
        <w:topLinePunct w:val="0"/>
        <w:autoSpaceDE/>
        <w:autoSpaceDN/>
        <w:bidi w:val="0"/>
        <w:adjustRightInd w:val="0"/>
        <w:snapToGrid w:val="0"/>
        <w:spacing w:before="437" w:beforeLines="100" w:line="560" w:lineRule="exact"/>
        <w:ind w:left="0" w:leftChars="0" w:right="0" w:rightChars="0" w:firstLine="0" w:firstLineChars="0"/>
        <w:jc w:val="center"/>
        <w:textAlignment w:val="auto"/>
        <w:outlineLvl w:val="9"/>
        <w:rPr>
          <w:rFonts w:hint="eastAsia"/>
          <w:lang w:eastAsia="zh-CN"/>
        </w:rPr>
      </w:pPr>
      <w:r>
        <w:rPr>
          <w:rFonts w:hint="eastAsia" w:ascii="楷体_GB2312" w:hAnsi="楷体_GB2312" w:eastAsia="楷体_GB2312" w:cs="楷体_GB2312"/>
          <w:color w:val="000000"/>
          <w:sz w:val="32"/>
          <w:szCs w:val="32"/>
          <w:lang w:eastAsia="zh-CN"/>
        </w:rPr>
        <w:t>目</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lang w:eastAsia="zh-CN"/>
        </w:rPr>
        <w:t>录</w:t>
      </w:r>
    </w:p>
    <w:p>
      <w:pPr>
        <w:keepNext w:val="0"/>
        <w:keepLines w:val="0"/>
        <w:pageBreakBefore w:val="0"/>
        <w:widowControl w:val="0"/>
        <w:kinsoku/>
        <w:wordWrap/>
        <w:overflowPunct/>
        <w:topLinePunct w:val="0"/>
        <w:autoSpaceDE/>
        <w:autoSpaceDN/>
        <w:bidi w:val="0"/>
        <w:adjustRightInd w:val="0"/>
        <w:snapToGrid w:val="0"/>
        <w:spacing w:beforeLines="0" w:afterLines="0" w:line="560" w:lineRule="exact"/>
        <w:ind w:left="0" w:leftChars="0" w:firstLine="640" w:firstLineChars="200"/>
        <w:textAlignment w:val="auto"/>
        <w:rPr>
          <w:rFonts w:hint="eastAsia" w:ascii="宋体" w:hAnsi="宋体" w:eastAsia="宋体" w:cs="宋体"/>
          <w:color w:val="000000"/>
          <w:sz w:val="32"/>
          <w:szCs w:val="32"/>
          <w:lang w:val="en-US" w:eastAsia="zh-CN"/>
        </w:rPr>
      </w:pPr>
      <w:r>
        <w:rPr>
          <w:rFonts w:hint="eastAsia" w:ascii="宋体" w:hAnsi="宋体" w:eastAsia="宋体" w:cs="宋体"/>
          <w:color w:val="000000"/>
          <w:sz w:val="32"/>
          <w:szCs w:val="32"/>
          <w:lang w:val="en-US" w:eastAsia="zh-CN"/>
        </w:rPr>
        <w:t>第一章  总则</w:t>
      </w:r>
    </w:p>
    <w:p>
      <w:pPr>
        <w:keepNext w:val="0"/>
        <w:keepLines w:val="0"/>
        <w:pageBreakBefore w:val="0"/>
        <w:widowControl w:val="0"/>
        <w:kinsoku/>
        <w:wordWrap/>
        <w:overflowPunct/>
        <w:topLinePunct w:val="0"/>
        <w:autoSpaceDE/>
        <w:autoSpaceDN/>
        <w:bidi w:val="0"/>
        <w:adjustRightInd w:val="0"/>
        <w:snapToGrid w:val="0"/>
        <w:spacing w:beforeLines="0" w:afterLines="0" w:line="560" w:lineRule="exact"/>
        <w:ind w:left="0" w:leftChars="0" w:firstLine="640" w:firstLineChars="200"/>
        <w:textAlignment w:val="auto"/>
        <w:rPr>
          <w:rFonts w:hint="eastAsia" w:ascii="宋体" w:hAnsi="宋体" w:eastAsia="宋体" w:cs="宋体"/>
          <w:color w:val="000000"/>
          <w:sz w:val="32"/>
          <w:szCs w:val="32"/>
          <w:lang w:val="en-US" w:eastAsia="zh-CN"/>
        </w:rPr>
      </w:pPr>
      <w:r>
        <w:rPr>
          <w:rFonts w:hint="eastAsia" w:ascii="宋体" w:hAnsi="宋体" w:eastAsia="宋体" w:cs="宋体"/>
          <w:color w:val="000000"/>
          <w:sz w:val="32"/>
          <w:szCs w:val="32"/>
          <w:lang w:val="en-US" w:eastAsia="zh-CN"/>
        </w:rPr>
        <w:t>第二章  调查认定</w:t>
      </w:r>
    </w:p>
    <w:p>
      <w:pPr>
        <w:keepNext w:val="0"/>
        <w:keepLines w:val="0"/>
        <w:pageBreakBefore w:val="0"/>
        <w:widowControl w:val="0"/>
        <w:kinsoku/>
        <w:wordWrap/>
        <w:overflowPunct/>
        <w:topLinePunct w:val="0"/>
        <w:autoSpaceDE/>
        <w:autoSpaceDN/>
        <w:bidi w:val="0"/>
        <w:adjustRightInd w:val="0"/>
        <w:snapToGrid w:val="0"/>
        <w:spacing w:beforeLines="0" w:afterLines="0" w:line="560" w:lineRule="exact"/>
        <w:ind w:left="0" w:leftChars="0" w:firstLine="640" w:firstLineChars="200"/>
        <w:textAlignment w:val="auto"/>
        <w:rPr>
          <w:rFonts w:hint="eastAsia" w:ascii="宋体" w:hAnsi="宋体" w:eastAsia="宋体" w:cs="宋体"/>
          <w:color w:val="000000"/>
          <w:sz w:val="32"/>
          <w:szCs w:val="32"/>
          <w:lang w:val="en-US" w:eastAsia="zh-CN"/>
        </w:rPr>
      </w:pPr>
      <w:r>
        <w:rPr>
          <w:rFonts w:hint="eastAsia" w:ascii="宋体" w:hAnsi="宋体" w:eastAsia="宋体" w:cs="宋体"/>
          <w:color w:val="000000"/>
          <w:sz w:val="32"/>
          <w:szCs w:val="32"/>
          <w:lang w:val="en-US" w:eastAsia="zh-CN"/>
        </w:rPr>
        <w:t>第三章  保护管理</w:t>
      </w:r>
    </w:p>
    <w:p>
      <w:pPr>
        <w:keepNext w:val="0"/>
        <w:keepLines w:val="0"/>
        <w:pageBreakBefore w:val="0"/>
        <w:widowControl w:val="0"/>
        <w:kinsoku/>
        <w:wordWrap/>
        <w:overflowPunct/>
        <w:topLinePunct w:val="0"/>
        <w:autoSpaceDE/>
        <w:autoSpaceDN/>
        <w:bidi w:val="0"/>
        <w:adjustRightInd w:val="0"/>
        <w:snapToGrid w:val="0"/>
        <w:spacing w:beforeLines="0" w:afterLines="0" w:line="560" w:lineRule="exact"/>
        <w:ind w:left="0" w:leftChars="0" w:firstLine="640" w:firstLineChars="200"/>
        <w:textAlignment w:val="auto"/>
        <w:rPr>
          <w:rFonts w:hint="eastAsia" w:ascii="宋体" w:hAnsi="宋体" w:eastAsia="宋体" w:cs="宋体"/>
          <w:color w:val="000000"/>
          <w:sz w:val="32"/>
          <w:szCs w:val="32"/>
          <w:lang w:val="en-US" w:eastAsia="zh-CN"/>
        </w:rPr>
      </w:pPr>
      <w:r>
        <w:rPr>
          <w:rFonts w:hint="eastAsia" w:ascii="宋体" w:hAnsi="宋体" w:eastAsia="宋体" w:cs="宋体"/>
          <w:color w:val="000000"/>
          <w:sz w:val="32"/>
          <w:szCs w:val="32"/>
          <w:lang w:val="en-US" w:eastAsia="zh-CN"/>
        </w:rPr>
        <w:t>第四章  传承利用</w:t>
      </w:r>
    </w:p>
    <w:p>
      <w:pPr>
        <w:keepNext w:val="0"/>
        <w:keepLines w:val="0"/>
        <w:pageBreakBefore w:val="0"/>
        <w:widowControl w:val="0"/>
        <w:kinsoku/>
        <w:wordWrap/>
        <w:overflowPunct/>
        <w:topLinePunct w:val="0"/>
        <w:autoSpaceDE/>
        <w:autoSpaceDN/>
        <w:bidi w:val="0"/>
        <w:adjustRightInd w:val="0"/>
        <w:snapToGrid w:val="0"/>
        <w:spacing w:beforeLines="0" w:afterLines="0" w:line="560" w:lineRule="exact"/>
        <w:ind w:left="0" w:leftChars="0" w:firstLine="640" w:firstLineChars="200"/>
        <w:textAlignment w:val="auto"/>
        <w:rPr>
          <w:rFonts w:hint="eastAsia" w:ascii="宋体" w:hAnsi="宋体" w:eastAsia="宋体" w:cs="宋体"/>
          <w:color w:val="000000"/>
          <w:sz w:val="32"/>
          <w:szCs w:val="32"/>
          <w:lang w:val="en-US" w:eastAsia="zh-CN"/>
        </w:rPr>
      </w:pPr>
      <w:r>
        <w:rPr>
          <w:rFonts w:hint="eastAsia" w:ascii="宋体" w:hAnsi="宋体" w:eastAsia="宋体" w:cs="宋体"/>
          <w:color w:val="000000"/>
          <w:sz w:val="32"/>
          <w:szCs w:val="32"/>
          <w:lang w:val="en-US" w:eastAsia="zh-CN"/>
        </w:rPr>
        <w:t>第五章  法律责任</w:t>
      </w:r>
    </w:p>
    <w:p>
      <w:pPr>
        <w:keepNext w:val="0"/>
        <w:keepLines w:val="0"/>
        <w:pageBreakBefore w:val="0"/>
        <w:widowControl w:val="0"/>
        <w:kinsoku/>
        <w:wordWrap/>
        <w:overflowPunct/>
        <w:topLinePunct w:val="0"/>
        <w:autoSpaceDE/>
        <w:autoSpaceDN/>
        <w:bidi w:val="0"/>
        <w:adjustRightInd w:val="0"/>
        <w:snapToGrid w:val="0"/>
        <w:spacing w:beforeLines="0" w:afterLines="0" w:line="560" w:lineRule="exact"/>
        <w:ind w:left="0" w:leftChars="0" w:firstLine="640" w:firstLineChars="200"/>
        <w:textAlignment w:val="auto"/>
        <w:rPr>
          <w:rFonts w:hint="eastAsia" w:ascii="宋体" w:hAnsi="宋体" w:eastAsia="宋体" w:cs="宋体"/>
          <w:color w:val="000000"/>
          <w:sz w:val="32"/>
          <w:szCs w:val="32"/>
          <w:lang w:val="en-US" w:eastAsia="zh-CN"/>
        </w:rPr>
      </w:pPr>
      <w:r>
        <w:rPr>
          <w:rFonts w:hint="eastAsia" w:ascii="宋体" w:hAnsi="宋体" w:eastAsia="宋体" w:cs="宋体"/>
          <w:color w:val="000000"/>
          <w:sz w:val="32"/>
          <w:szCs w:val="32"/>
          <w:lang w:val="en-US" w:eastAsia="zh-CN"/>
        </w:rPr>
        <w:t>第六章  附则</w:t>
      </w:r>
    </w:p>
    <w:p>
      <w:pPr>
        <w:keepNext w:val="0"/>
        <w:keepLines w:val="0"/>
        <w:pageBreakBefore w:val="0"/>
        <w:widowControl w:val="0"/>
        <w:kinsoku/>
        <w:wordWrap/>
        <w:overflowPunct/>
        <w:topLinePunct w:val="0"/>
        <w:autoSpaceDE/>
        <w:autoSpaceDN/>
        <w:bidi w:val="0"/>
        <w:adjustRightInd w:val="0"/>
        <w:snapToGrid w:val="0"/>
        <w:spacing w:beforeLines="0" w:after="0" w:afterLines="0" w:line="560" w:lineRule="exact"/>
        <w:ind w:left="0" w:leftChars="0" w:firstLine="620" w:firstLineChars="200"/>
        <w:jc w:val="both"/>
        <w:textAlignment w:val="auto"/>
        <w:rPr>
          <w:rFonts w:ascii="Calibri" w:hAnsi="Calibri" w:eastAsia="宋体" w:cs="Times New Roman"/>
          <w:kern w:val="2"/>
          <w:sz w:val="31"/>
          <w:szCs w:val="31"/>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val="0"/>
        <w:snapToGrid w:val="0"/>
        <w:spacing w:before="157" w:beforeLines="50" w:after="157" w:afterLines="50" w:line="560" w:lineRule="exact"/>
        <w:ind w:right="0" w:rightChars="0"/>
        <w:jc w:val="center"/>
        <w:textAlignment w:val="auto"/>
        <w:outlineLvl w:val="9"/>
        <w:rPr>
          <w:rFonts w:ascii="黑体" w:hAnsi="Calibri" w:eastAsia="黑体" w:cs="黑体"/>
          <w:bCs/>
          <w:color w:val="000000"/>
          <w:sz w:val="32"/>
          <w:szCs w:val="32"/>
        </w:rPr>
      </w:pPr>
      <w:r>
        <w:rPr>
          <w:rFonts w:hint="eastAsia" w:ascii="黑体" w:hAnsi="黑体" w:eastAsia="黑体" w:cs="黑体"/>
          <w:color w:val="000000"/>
          <w:sz w:val="32"/>
          <w:szCs w:val="32"/>
          <w:lang w:eastAsia="zh-CN"/>
        </w:rPr>
        <w:t>第一章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总    则</w:t>
      </w:r>
    </w:p>
    <w:p>
      <w:pPr>
        <w:keepNext w:val="0"/>
        <w:keepLines w:val="0"/>
        <w:pageBreakBefore w:val="0"/>
        <w:widowControl w:val="0"/>
        <w:kinsoku/>
        <w:wordWrap/>
        <w:overflowPunct/>
        <w:topLinePunct w:val="0"/>
        <w:autoSpaceDE/>
        <w:autoSpaceDN/>
        <w:bidi w:val="0"/>
        <w:adjustRightInd w:val="0"/>
        <w:snapToGrid w:val="0"/>
        <w:spacing w:beforeLines="0" w:afterLines="0" w:line="560" w:lineRule="exact"/>
        <w:ind w:firstLine="640" w:firstLineChars="200"/>
        <w:textAlignment w:val="auto"/>
        <w:rPr>
          <w:rFonts w:ascii="仿宋_GB2312" w:hAnsi="仿宋_GB2312" w:eastAsia="仿宋_GB2312" w:cs="仿宋_GB2312"/>
          <w:color w:val="000000"/>
          <w:sz w:val="32"/>
          <w:szCs w:val="32"/>
        </w:rPr>
      </w:pPr>
      <w:r>
        <w:rPr>
          <w:rFonts w:hint="eastAsia" w:ascii="黑体" w:hAnsi="黑体" w:eastAsia="黑体" w:cs="黑体"/>
          <w:bCs/>
          <w:color w:val="000000"/>
          <w:sz w:val="32"/>
          <w:szCs w:val="32"/>
        </w:rPr>
        <w:t>第一条　</w:t>
      </w:r>
      <w:r>
        <w:rPr>
          <w:rFonts w:hint="eastAsia" w:ascii="仿宋_GB2312" w:hAnsi="仿宋_GB2312" w:eastAsia="仿宋_GB2312" w:cs="仿宋_GB2312"/>
          <w:color w:val="000000"/>
          <w:sz w:val="32"/>
          <w:szCs w:val="32"/>
        </w:rPr>
        <w:t>为了加强红色文化遗存的保护</w:t>
      </w:r>
      <w:r>
        <w:rPr>
          <w:rFonts w:hint="eastAsia" w:ascii="仿宋_GB2312" w:hAnsi="仿宋_GB2312" w:eastAsia="仿宋_GB2312" w:cs="仿宋_GB2312"/>
          <w:color w:val="000000"/>
          <w:sz w:val="32"/>
          <w:szCs w:val="32"/>
          <w:lang w:val="en-US" w:eastAsia="zh-CN"/>
        </w:rPr>
        <w:t>和</w:t>
      </w:r>
      <w:r>
        <w:rPr>
          <w:rFonts w:hint="eastAsia" w:ascii="仿宋_GB2312" w:hAnsi="仿宋_GB2312" w:eastAsia="仿宋_GB2312" w:cs="仿宋_GB2312"/>
          <w:color w:val="000000"/>
          <w:sz w:val="32"/>
          <w:szCs w:val="32"/>
          <w:lang w:eastAsia="zh-CN"/>
        </w:rPr>
        <w:t>利用</w:t>
      </w:r>
      <w:r>
        <w:rPr>
          <w:rFonts w:hint="eastAsia" w:ascii="仿宋_GB2312" w:hAnsi="仿宋_GB2312" w:eastAsia="仿宋_GB2312" w:cs="仿宋_GB2312"/>
          <w:color w:val="000000"/>
          <w:sz w:val="32"/>
          <w:szCs w:val="32"/>
        </w:rPr>
        <w:t>，传承红色基因，弘扬红色文化，培育和践行社会主义核心价值观，根据国家有关法律、行政法规，结合本省实际，制定本条例。</w:t>
      </w:r>
    </w:p>
    <w:p>
      <w:pPr>
        <w:keepNext w:val="0"/>
        <w:keepLines w:val="0"/>
        <w:pageBreakBefore w:val="0"/>
        <w:widowControl w:val="0"/>
        <w:kinsoku/>
        <w:wordWrap/>
        <w:overflowPunct/>
        <w:topLinePunct w:val="0"/>
        <w:autoSpaceDE/>
        <w:autoSpaceDN/>
        <w:bidi w:val="0"/>
        <w:adjustRightInd w:val="0"/>
        <w:snapToGrid w:val="0"/>
        <w:spacing w:beforeLines="0" w:afterLines="0" w:line="560" w:lineRule="exact"/>
        <w:ind w:firstLine="640" w:firstLineChars="200"/>
        <w:textAlignment w:val="auto"/>
        <w:rPr>
          <w:rFonts w:ascii="仿宋_GB2312" w:hAnsi="仿宋_GB2312" w:eastAsia="仿宋_GB2312" w:cs="仿宋_GB2312"/>
          <w:color w:val="000000"/>
          <w:sz w:val="32"/>
          <w:szCs w:val="32"/>
        </w:rPr>
      </w:pPr>
      <w:r>
        <w:rPr>
          <w:rFonts w:hint="eastAsia" w:ascii="黑体" w:hAnsi="黑体" w:eastAsia="黑体" w:cs="黑体"/>
          <w:bCs/>
          <w:color w:val="000000"/>
          <w:sz w:val="32"/>
          <w:szCs w:val="32"/>
        </w:rPr>
        <w:t>第二条</w:t>
      </w:r>
      <w:r>
        <w:rPr>
          <w:rFonts w:hint="eastAsia" w:ascii="仿宋_GB2312" w:hAnsi="仿宋_GB2312" w:eastAsia="仿宋_GB2312" w:cs="仿宋_GB2312"/>
          <w:color w:val="000000"/>
          <w:sz w:val="32"/>
          <w:szCs w:val="32"/>
        </w:rPr>
        <w:t>　本省行政区域内红色文化遗存的调查认定、保护管理、传承利用等活动，适用本条例。</w:t>
      </w:r>
    </w:p>
    <w:p>
      <w:pPr>
        <w:keepNext w:val="0"/>
        <w:keepLines w:val="0"/>
        <w:pageBreakBefore w:val="0"/>
        <w:widowControl w:val="0"/>
        <w:kinsoku/>
        <w:wordWrap/>
        <w:overflowPunct/>
        <w:topLinePunct w:val="0"/>
        <w:autoSpaceDE/>
        <w:autoSpaceDN/>
        <w:bidi w:val="0"/>
        <w:adjustRightInd w:val="0"/>
        <w:snapToGrid w:val="0"/>
        <w:spacing w:beforeLines="0" w:afterLines="0" w:line="560" w:lineRule="exact"/>
        <w:ind w:firstLine="640" w:firstLineChars="200"/>
        <w:textAlignment w:val="auto"/>
        <w:rPr>
          <w:rFonts w:hint="eastAsia" w:ascii="Calibri" w:hAnsi="Calibri" w:eastAsia="仿宋_GB2312" w:cs="Times New Roman"/>
          <w:sz w:val="21"/>
          <w:lang w:val="en-US" w:eastAsia="zh-CN"/>
        </w:rPr>
      </w:pPr>
      <w:r>
        <w:rPr>
          <w:rFonts w:hint="eastAsia" w:ascii="仿宋_GB2312" w:hAnsi="仿宋_GB2312" w:eastAsia="仿宋_GB2312" w:cs="仿宋_GB2312"/>
          <w:color w:val="000000"/>
          <w:sz w:val="32"/>
          <w:szCs w:val="32"/>
        </w:rPr>
        <w:t>法律、</w:t>
      </w:r>
      <w:r>
        <w:rPr>
          <w:rFonts w:hint="eastAsia" w:ascii="仿宋_GB2312" w:hAnsi="仿宋_GB2312" w:eastAsia="仿宋_GB2312" w:cs="仿宋_GB2312"/>
          <w:color w:val="000000"/>
          <w:sz w:val="32"/>
          <w:szCs w:val="32"/>
          <w:lang w:val="en-US" w:eastAsia="zh-CN"/>
        </w:rPr>
        <w:t>行政</w:t>
      </w:r>
      <w:r>
        <w:rPr>
          <w:rFonts w:hint="eastAsia" w:ascii="仿宋_GB2312" w:hAnsi="仿宋_GB2312" w:eastAsia="仿宋_GB2312" w:cs="仿宋_GB2312"/>
          <w:color w:val="000000"/>
          <w:sz w:val="32"/>
          <w:szCs w:val="32"/>
        </w:rPr>
        <w:t>法规对红色文化遗存中涉及的文物、档案、历史建筑、烈士纪念设施等已有规定的，从其规定。</w:t>
      </w:r>
    </w:p>
    <w:p>
      <w:pPr>
        <w:keepNext w:val="0"/>
        <w:keepLines w:val="0"/>
        <w:pageBreakBefore w:val="0"/>
        <w:widowControl w:val="0"/>
        <w:kinsoku/>
        <w:wordWrap/>
        <w:overflowPunct/>
        <w:topLinePunct w:val="0"/>
        <w:autoSpaceDE/>
        <w:autoSpaceDN/>
        <w:bidi w:val="0"/>
        <w:adjustRightInd w:val="0"/>
        <w:snapToGrid w:val="0"/>
        <w:spacing w:beforeLines="0" w:afterLines="0" w:line="560" w:lineRule="exact"/>
        <w:ind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bCs/>
          <w:color w:val="000000"/>
          <w:sz w:val="32"/>
          <w:szCs w:val="32"/>
        </w:rPr>
        <w:t>第三条</w:t>
      </w:r>
      <w:r>
        <w:rPr>
          <w:rFonts w:ascii="黑体" w:hAnsi="黑体" w:eastAsia="黑体" w:cs="黑体"/>
          <w:bCs/>
          <w:color w:val="000000"/>
          <w:sz w:val="32"/>
          <w:szCs w:val="32"/>
        </w:rPr>
        <w:t xml:space="preserve">  </w:t>
      </w:r>
      <w:r>
        <w:rPr>
          <w:rFonts w:hint="eastAsia" w:ascii="仿宋_GB2312" w:hAnsi="仿宋_GB2312" w:eastAsia="仿宋_GB2312" w:cs="仿宋_GB2312"/>
          <w:color w:val="000000"/>
          <w:sz w:val="32"/>
          <w:szCs w:val="32"/>
        </w:rPr>
        <w:t>本条例所称的红色文化遗存，是指新民主主义革命时期</w:t>
      </w:r>
      <w:r>
        <w:rPr>
          <w:rFonts w:hint="eastAsia" w:ascii="仿宋_GB2312" w:hAnsi="仿宋_GB2312" w:eastAsia="仿宋_GB2312" w:cs="仿宋_GB2312"/>
          <w:color w:val="000000"/>
          <w:sz w:val="32"/>
          <w:szCs w:val="32"/>
          <w:lang w:eastAsia="zh-CN"/>
        </w:rPr>
        <w:t>以来</w:t>
      </w:r>
      <w:r>
        <w:rPr>
          <w:rFonts w:hint="eastAsia" w:ascii="仿宋_GB2312" w:hAnsi="仿宋_GB2312" w:eastAsia="仿宋_GB2312" w:cs="仿宋_GB2312"/>
          <w:color w:val="000000"/>
          <w:sz w:val="32"/>
          <w:szCs w:val="32"/>
          <w:shd w:val="clear" w:color="auto" w:fill="auto"/>
        </w:rPr>
        <w:t>，中国共产</w:t>
      </w:r>
      <w:r>
        <w:rPr>
          <w:rFonts w:hint="eastAsia" w:ascii="仿宋_GB2312" w:hAnsi="仿宋_GB2312" w:eastAsia="仿宋_GB2312" w:cs="仿宋_GB2312"/>
          <w:color w:val="000000"/>
          <w:sz w:val="32"/>
          <w:szCs w:val="32"/>
          <w:lang w:val="en-US" w:eastAsia="zh-CN"/>
        </w:rPr>
        <w:t>党团结带领各族人民进行重要历史活动所遗留的，具有重要纪念意义、教育意义或者史料价值的遗址、遗迹、场所和实物。主</w:t>
      </w:r>
      <w:r>
        <w:rPr>
          <w:rFonts w:hint="eastAsia" w:ascii="仿宋_GB2312" w:hAnsi="仿宋_GB2312" w:eastAsia="仿宋_GB2312" w:cs="仿宋_GB2312"/>
          <w:color w:val="000000"/>
          <w:sz w:val="32"/>
          <w:szCs w:val="32"/>
        </w:rPr>
        <w:t>要包括：</w:t>
      </w:r>
    </w:p>
    <w:p>
      <w:pPr>
        <w:keepNext w:val="0"/>
        <w:keepLines w:val="0"/>
        <w:pageBreakBefore w:val="0"/>
        <w:widowControl w:val="0"/>
        <w:kinsoku/>
        <w:wordWrap/>
        <w:overflowPunct/>
        <w:topLinePunct w:val="0"/>
        <w:autoSpaceDE/>
        <w:autoSpaceDN/>
        <w:bidi w:val="0"/>
        <w:adjustRightInd w:val="0"/>
        <w:snapToGrid w:val="0"/>
        <w:spacing w:beforeLines="0" w:afterLines="0" w:line="560" w:lineRule="exact"/>
        <w:ind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（一）重要</w:t>
      </w:r>
      <w:r>
        <w:rPr>
          <w:rFonts w:hint="eastAsia" w:ascii="仿宋_GB2312" w:hAnsi="仿宋_GB2312" w:eastAsia="仿宋_GB2312" w:cs="仿宋_GB2312"/>
          <w:color w:val="000000"/>
          <w:sz w:val="32"/>
          <w:szCs w:val="32"/>
          <w:lang w:val="en-US" w:eastAsia="zh-CN"/>
        </w:rPr>
        <w:t>机构</w:t>
      </w:r>
      <w:r>
        <w:rPr>
          <w:rFonts w:hint="eastAsia" w:ascii="仿宋_GB2312" w:hAnsi="仿宋_GB2312" w:eastAsia="仿宋_GB2312" w:cs="仿宋_GB2312"/>
          <w:color w:val="000000"/>
          <w:sz w:val="32"/>
          <w:szCs w:val="32"/>
        </w:rPr>
        <w:t>、</w:t>
      </w:r>
      <w:r>
        <w:rPr>
          <w:rFonts w:hint="eastAsia" w:ascii="仿宋_GB2312" w:hAnsi="仿宋_GB2312" w:eastAsia="仿宋_GB2312" w:cs="仿宋_GB2312"/>
          <w:color w:val="000000"/>
          <w:sz w:val="32"/>
          <w:szCs w:val="32"/>
          <w:lang w:val="en-US" w:eastAsia="zh-CN"/>
        </w:rPr>
        <w:t>会议、事件、战役的旧址或者遗址</w:t>
      </w:r>
      <w:r>
        <w:rPr>
          <w:rFonts w:hint="eastAsia" w:ascii="仿宋_GB2312" w:hAnsi="仿宋_GB2312" w:eastAsia="仿宋_GB2312" w:cs="仿宋_GB2312"/>
          <w:color w:val="000000"/>
          <w:sz w:val="32"/>
          <w:szCs w:val="32"/>
        </w:rPr>
        <w:t>；</w:t>
      </w:r>
    </w:p>
    <w:p>
      <w:pPr>
        <w:keepNext w:val="0"/>
        <w:keepLines w:val="0"/>
        <w:pageBreakBefore w:val="0"/>
        <w:widowControl w:val="0"/>
        <w:kinsoku/>
        <w:wordWrap/>
        <w:overflowPunct/>
        <w:topLinePunct w:val="0"/>
        <w:autoSpaceDE/>
        <w:autoSpaceDN/>
        <w:bidi w:val="0"/>
        <w:adjustRightInd w:val="0"/>
        <w:snapToGrid w:val="0"/>
        <w:spacing w:beforeLines="0" w:afterLines="0" w:line="560" w:lineRule="exact"/>
        <w:ind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lang w:val="en-US" w:eastAsia="zh-CN"/>
        </w:rPr>
        <w:t>（二）重要人物和具有重要影响的英雄烈士的故居、旧居、活动地、墓地和遗物；</w:t>
      </w:r>
    </w:p>
    <w:p>
      <w:pPr>
        <w:keepNext w:val="0"/>
        <w:keepLines w:val="0"/>
        <w:pageBreakBefore w:val="0"/>
        <w:widowControl w:val="0"/>
        <w:kinsoku/>
        <w:wordWrap/>
        <w:overflowPunct/>
        <w:topLinePunct w:val="0"/>
        <w:autoSpaceDE/>
        <w:autoSpaceDN/>
        <w:bidi w:val="0"/>
        <w:adjustRightInd w:val="0"/>
        <w:snapToGrid w:val="0"/>
        <w:spacing w:beforeLines="0" w:afterLines="0" w:line="560" w:lineRule="exact"/>
        <w:ind w:firstLine="640" w:firstLineChars="200"/>
        <w:textAlignment w:val="auto"/>
        <w:rPr>
          <w:rFonts w:hint="eastAsia" w:ascii="仿宋_GB2312" w:hAnsi="仿宋_GB2312" w:eastAsia="仿宋_GB2312" w:cs="仿宋_GB2312"/>
          <w:color w:val="000000"/>
          <w:spacing w:val="-6"/>
          <w:sz w:val="32"/>
          <w:szCs w:val="32"/>
        </w:rPr>
      </w:pPr>
      <w:r>
        <w:rPr>
          <w:rFonts w:hint="eastAsia" w:ascii="仿宋_GB2312" w:hAnsi="仿宋_GB2312" w:eastAsia="仿宋_GB2312" w:cs="仿宋_GB2312"/>
          <w:color w:val="000000"/>
          <w:sz w:val="32"/>
          <w:szCs w:val="32"/>
        </w:rPr>
        <w:t>（三）</w:t>
      </w:r>
      <w:r>
        <w:rPr>
          <w:rFonts w:hint="eastAsia" w:ascii="仿宋_GB2312" w:hAnsi="仿宋_GB2312" w:eastAsia="仿宋_GB2312" w:cs="仿宋_GB2312"/>
          <w:color w:val="000000"/>
          <w:spacing w:val="-6"/>
          <w:sz w:val="32"/>
          <w:szCs w:val="32"/>
          <w:lang w:val="en-US" w:eastAsia="zh-CN"/>
        </w:rPr>
        <w:t>烈士</w:t>
      </w:r>
      <w:r>
        <w:rPr>
          <w:rFonts w:hint="eastAsia" w:ascii="仿宋_GB2312" w:hAnsi="仿宋_GB2312" w:eastAsia="仿宋_GB2312" w:cs="仿宋_GB2312"/>
          <w:color w:val="000000"/>
          <w:spacing w:val="-11"/>
          <w:sz w:val="32"/>
          <w:szCs w:val="32"/>
          <w:lang w:val="en-US" w:eastAsia="zh-CN"/>
        </w:rPr>
        <w:t>陵园、纪念堂馆、碑亭、塔祠等纪念设施或者</w:t>
      </w:r>
      <w:r>
        <w:rPr>
          <w:rFonts w:hint="eastAsia" w:ascii="仿宋_GB2312" w:hAnsi="仿宋_GB2312" w:eastAsia="仿宋_GB2312" w:cs="仿宋_GB2312"/>
          <w:color w:val="000000"/>
          <w:spacing w:val="-6"/>
          <w:sz w:val="32"/>
          <w:szCs w:val="32"/>
          <w:lang w:val="en-US" w:eastAsia="zh-CN"/>
        </w:rPr>
        <w:t>场所；</w:t>
      </w:r>
    </w:p>
    <w:p>
      <w:pPr>
        <w:keepNext w:val="0"/>
        <w:keepLines w:val="0"/>
        <w:pageBreakBefore w:val="0"/>
        <w:widowControl w:val="0"/>
        <w:kinsoku/>
        <w:wordWrap/>
        <w:overflowPunct/>
        <w:topLinePunct w:val="0"/>
        <w:autoSpaceDE/>
        <w:autoSpaceDN/>
        <w:bidi w:val="0"/>
        <w:adjustRightInd w:val="0"/>
        <w:snapToGrid w:val="0"/>
        <w:spacing w:beforeLines="0" w:afterLines="0" w:line="560" w:lineRule="exact"/>
        <w:ind w:firstLine="640" w:firstLineChars="200"/>
        <w:textAlignment w:val="auto"/>
        <w:rPr>
          <w:rFonts w:hint="eastAsia" w:ascii="仿宋_GB2312" w:hAnsi="仿宋_GB2312" w:eastAsia="宋体" w:cs="仿宋_GB2312"/>
          <w:color w:val="000000"/>
          <w:sz w:val="32"/>
          <w:szCs w:val="32"/>
          <w:lang w:val="en-US" w:eastAsia="zh-CN"/>
        </w:rPr>
      </w:pPr>
      <w:r>
        <w:rPr>
          <w:rFonts w:hint="eastAsia" w:ascii="仿宋_GB2312" w:hAnsi="仿宋_GB2312" w:eastAsia="仿宋_GB2312" w:cs="仿宋_GB2312"/>
          <w:color w:val="000000"/>
          <w:sz w:val="32"/>
          <w:szCs w:val="32"/>
          <w:lang w:val="en-US" w:eastAsia="zh-CN"/>
        </w:rPr>
        <w:t>（四）</w:t>
      </w:r>
      <w:r>
        <w:rPr>
          <w:rFonts w:hint="eastAsia" w:ascii="仿宋_GB2312" w:hAnsi="仿宋_GB2312" w:eastAsia="仿宋_GB2312" w:cs="仿宋_GB2312"/>
          <w:color w:val="000000"/>
          <w:sz w:val="32"/>
          <w:szCs w:val="32"/>
        </w:rPr>
        <w:t>重要</w:t>
      </w:r>
      <w:r>
        <w:rPr>
          <w:rFonts w:hint="eastAsia" w:ascii="仿宋_GB2312" w:hAnsi="仿宋_GB2312" w:eastAsia="仿宋_GB2312" w:cs="仿宋_GB2312"/>
          <w:color w:val="000000"/>
          <w:sz w:val="32"/>
          <w:szCs w:val="32"/>
          <w:lang w:val="en-US" w:eastAsia="zh-CN"/>
        </w:rPr>
        <w:t>著作、手稿、文电</w:t>
      </w:r>
      <w:r>
        <w:rPr>
          <w:rFonts w:hint="eastAsia" w:ascii="仿宋_GB2312" w:hAnsi="仿宋_GB2312" w:eastAsia="仿宋_GB2312" w:cs="仿宋_GB2312"/>
          <w:color w:val="000000"/>
          <w:sz w:val="32"/>
          <w:szCs w:val="32"/>
        </w:rPr>
        <w:t>、图书、声像</w:t>
      </w:r>
      <w:r>
        <w:rPr>
          <w:rFonts w:hint="eastAsia" w:ascii="仿宋_GB2312" w:hAnsi="仿宋_GB2312" w:eastAsia="仿宋_GB2312" w:cs="仿宋_GB2312"/>
          <w:color w:val="000000"/>
          <w:sz w:val="32"/>
          <w:szCs w:val="32"/>
          <w:lang w:val="en-US" w:eastAsia="zh-CN"/>
        </w:rPr>
        <w:t>、证件</w:t>
      </w:r>
      <w:r>
        <w:rPr>
          <w:rFonts w:hint="eastAsia" w:ascii="仿宋_GB2312" w:hAnsi="仿宋_GB2312" w:eastAsia="仿宋_GB2312" w:cs="仿宋_GB2312"/>
          <w:color w:val="000000"/>
          <w:sz w:val="32"/>
          <w:szCs w:val="32"/>
        </w:rPr>
        <w:t>等文献</w:t>
      </w:r>
      <w:r>
        <w:rPr>
          <w:rFonts w:hint="eastAsia" w:ascii="仿宋_GB2312" w:hAnsi="仿宋_GB2312" w:eastAsia="仿宋_GB2312" w:cs="仿宋_GB2312"/>
          <w:color w:val="000000"/>
          <w:sz w:val="32"/>
          <w:szCs w:val="32"/>
          <w:lang w:val="en-US" w:eastAsia="zh-CN"/>
        </w:rPr>
        <w:t>和档案</w:t>
      </w:r>
      <w:r>
        <w:rPr>
          <w:rFonts w:hint="eastAsia" w:ascii="仿宋_GB2312" w:hAnsi="仿宋_GB2312" w:eastAsia="仿宋_GB2312" w:cs="仿宋_GB2312"/>
          <w:color w:val="000000"/>
          <w:sz w:val="32"/>
          <w:szCs w:val="32"/>
        </w:rPr>
        <w:t>资料</w:t>
      </w:r>
      <w:r>
        <w:rPr>
          <w:rFonts w:hint="eastAsia" w:ascii="仿宋_GB2312" w:hAnsi="仿宋_GB2312" w:eastAsia="宋体" w:cs="仿宋_GB2312"/>
          <w:color w:val="000000"/>
          <w:sz w:val="32"/>
          <w:szCs w:val="32"/>
          <w:lang w:val="en-US" w:eastAsia="zh-CN"/>
        </w:rPr>
        <w:t>。</w:t>
      </w:r>
    </w:p>
    <w:p>
      <w:pPr>
        <w:keepNext w:val="0"/>
        <w:keepLines w:val="0"/>
        <w:pageBreakBefore w:val="0"/>
        <w:widowControl w:val="0"/>
        <w:numPr>
          <w:ilvl w:val="0"/>
          <w:numId w:val="0"/>
        </w:numPr>
        <w:kinsoku/>
        <w:wordWrap/>
        <w:overflowPunct/>
        <w:topLinePunct w:val="0"/>
        <w:autoSpaceDE/>
        <w:autoSpaceDN/>
        <w:bidi w:val="0"/>
        <w:adjustRightInd w:val="0"/>
        <w:snapToGrid w:val="0"/>
        <w:spacing w:beforeLines="0" w:afterLines="0" w:line="560" w:lineRule="exact"/>
        <w:ind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lang w:eastAsia="zh-CN"/>
        </w:rPr>
        <w:t>第四条</w:t>
      </w:r>
      <w:r>
        <w:rPr>
          <w:rFonts w:hint="eastAsia" w:ascii="仿宋_GB2312" w:hAnsi="仿宋_GB2312" w:eastAsia="宋体" w:cs="仿宋_GB2312"/>
          <w:color w:val="000000"/>
          <w:sz w:val="32"/>
          <w:szCs w:val="32"/>
          <w:lang w:val="en-US" w:eastAsia="zh-CN"/>
        </w:rPr>
        <w:t xml:space="preserve">  </w:t>
      </w:r>
      <w:r>
        <w:rPr>
          <w:rFonts w:hint="eastAsia" w:ascii="仿宋_GB2312" w:hAnsi="仿宋_GB2312" w:eastAsia="仿宋_GB2312" w:cs="仿宋_GB2312"/>
          <w:color w:val="000000"/>
          <w:sz w:val="32"/>
          <w:szCs w:val="32"/>
        </w:rPr>
        <w:t>红色文化遗存的保护</w:t>
      </w:r>
      <w:r>
        <w:rPr>
          <w:rFonts w:hint="eastAsia" w:ascii="仿宋_GB2312" w:hAnsi="仿宋_GB2312" w:eastAsia="仿宋_GB2312" w:cs="仿宋_GB2312"/>
          <w:color w:val="000000"/>
          <w:sz w:val="32"/>
          <w:szCs w:val="32"/>
          <w:lang w:val="en-US" w:eastAsia="zh-CN"/>
        </w:rPr>
        <w:t>应当遵循保护为主、抢救第一、依法管理、科学利用、传承弘扬</w:t>
      </w:r>
      <w:r>
        <w:rPr>
          <w:rFonts w:hint="eastAsia" w:ascii="仿宋_GB2312" w:hAnsi="仿宋_GB2312" w:eastAsia="仿宋_GB2312" w:cs="仿宋_GB2312"/>
          <w:color w:val="000000"/>
          <w:sz w:val="32"/>
          <w:szCs w:val="32"/>
        </w:rPr>
        <w:t>的原则。</w:t>
      </w:r>
    </w:p>
    <w:p>
      <w:pPr>
        <w:keepNext w:val="0"/>
        <w:keepLines w:val="0"/>
        <w:pageBreakBefore w:val="0"/>
        <w:widowControl w:val="0"/>
        <w:numPr>
          <w:ilvl w:val="0"/>
          <w:numId w:val="0"/>
        </w:numPr>
        <w:kinsoku/>
        <w:wordWrap/>
        <w:overflowPunct/>
        <w:topLinePunct w:val="0"/>
        <w:autoSpaceDE/>
        <w:autoSpaceDN/>
        <w:bidi w:val="0"/>
        <w:adjustRightInd w:val="0"/>
        <w:snapToGrid w:val="0"/>
        <w:spacing w:beforeLines="0" w:afterLines="0" w:line="560" w:lineRule="exact"/>
        <w:ind w:firstLine="640" w:firstLineChars="200"/>
        <w:textAlignment w:val="auto"/>
        <w:rPr>
          <w:rFonts w:ascii="仿宋_GB2312" w:hAnsi="仿宋_GB2312" w:eastAsia="仿宋_GB2312" w:cs="仿宋_GB2312"/>
          <w:color w:val="000000"/>
          <w:sz w:val="32"/>
          <w:szCs w:val="32"/>
        </w:rPr>
      </w:pPr>
      <w:r>
        <w:rPr>
          <w:rFonts w:hint="eastAsia" w:ascii="黑体" w:hAnsi="黑体" w:eastAsia="黑体" w:cs="黑体"/>
          <w:bCs/>
          <w:color w:val="000000"/>
          <w:sz w:val="32"/>
          <w:szCs w:val="32"/>
        </w:rPr>
        <w:t>第五条</w:t>
      </w:r>
      <w:r>
        <w:rPr>
          <w:rFonts w:ascii="黑体" w:hAnsi="黑体" w:eastAsia="黑体" w:cs="黑体"/>
          <w:bCs/>
          <w:color w:val="000000"/>
          <w:sz w:val="32"/>
          <w:szCs w:val="32"/>
        </w:rPr>
        <w:t xml:space="preserve">  </w:t>
      </w:r>
      <w:r>
        <w:rPr>
          <w:rFonts w:hint="eastAsia" w:ascii="仿宋_GB2312" w:hAnsi="仿宋_GB2312" w:eastAsia="仿宋_GB2312" w:cs="仿宋_GB2312"/>
          <w:color w:val="000000"/>
          <w:sz w:val="32"/>
          <w:szCs w:val="32"/>
        </w:rPr>
        <w:t>县级以上地方人民政府应当将红色文化遗存保护工作纳入国民经济和社会发展规</w:t>
      </w:r>
      <w:r>
        <w:rPr>
          <w:rFonts w:hint="eastAsia" w:ascii="仿宋_GB2312" w:hAnsi="仿宋_GB2312" w:eastAsia="仿宋_GB2312" w:cs="仿宋_GB2312"/>
          <w:color w:val="000000"/>
          <w:sz w:val="32"/>
          <w:szCs w:val="32"/>
          <w:lang w:val="en-US" w:eastAsia="zh-CN"/>
        </w:rPr>
        <w:t>划，建立红色文化遗存保护联席会议制度，研究解决红色文化遗存保</w:t>
      </w:r>
      <w:r>
        <w:rPr>
          <w:rFonts w:hint="eastAsia" w:ascii="仿宋_GB2312" w:hAnsi="仿宋_GB2312" w:eastAsia="仿宋_GB2312" w:cs="仿宋_GB2312"/>
          <w:color w:val="000000"/>
          <w:sz w:val="32"/>
          <w:szCs w:val="32"/>
        </w:rPr>
        <w:t>护工作中的重大问题，所需经费纳入本级财政预算。</w:t>
      </w:r>
    </w:p>
    <w:p>
      <w:pPr>
        <w:keepNext w:val="0"/>
        <w:keepLines w:val="0"/>
        <w:pageBreakBefore w:val="0"/>
        <w:widowControl w:val="0"/>
        <w:kinsoku/>
        <w:wordWrap/>
        <w:overflowPunct/>
        <w:topLinePunct w:val="0"/>
        <w:autoSpaceDE/>
        <w:autoSpaceDN/>
        <w:bidi w:val="0"/>
        <w:adjustRightInd w:val="0"/>
        <w:snapToGrid w:val="0"/>
        <w:spacing w:beforeLines="0" w:afterLines="0" w:line="560" w:lineRule="exact"/>
        <w:ind w:firstLine="640" w:firstLineChars="200"/>
        <w:textAlignment w:val="auto"/>
        <w:rPr>
          <w:rFonts w:ascii="仿宋_GB2312" w:hAnsi="仿宋_GB2312" w:eastAsia="仿宋_GB2312" w:cs="仿宋_GB2312"/>
          <w:color w:val="000000"/>
          <w:sz w:val="32"/>
          <w:szCs w:val="32"/>
          <w:shd w:val="clear" w:color="auto" w:fill="auto"/>
        </w:rPr>
      </w:pPr>
      <w:r>
        <w:rPr>
          <w:rFonts w:hint="eastAsia" w:ascii="仿宋_GB2312" w:hAnsi="仿宋_GB2312" w:eastAsia="仿宋_GB2312" w:cs="仿宋_GB2312"/>
          <w:color w:val="000000"/>
          <w:sz w:val="32"/>
          <w:szCs w:val="32"/>
          <w:shd w:val="clear" w:color="auto" w:fill="auto"/>
        </w:rPr>
        <w:t>乡（镇）人民政府、街道办事处应当按照职责做好本辖区红色文化遗存的保护工作。</w:t>
      </w:r>
    </w:p>
    <w:p>
      <w:pPr>
        <w:keepNext w:val="0"/>
        <w:keepLines w:val="0"/>
        <w:pageBreakBefore w:val="0"/>
        <w:widowControl w:val="0"/>
        <w:kinsoku/>
        <w:wordWrap/>
        <w:overflowPunct/>
        <w:topLinePunct w:val="0"/>
        <w:autoSpaceDE/>
        <w:autoSpaceDN/>
        <w:bidi w:val="0"/>
        <w:adjustRightInd w:val="0"/>
        <w:snapToGrid w:val="0"/>
        <w:spacing w:beforeLines="0" w:afterLines="0" w:line="560" w:lineRule="exact"/>
        <w:ind w:firstLine="640" w:firstLineChars="200"/>
        <w:textAlignment w:val="auto"/>
        <w:rPr>
          <w:rFonts w:ascii="仿宋_GB2312" w:hAnsi="仿宋_GB2312" w:eastAsia="仿宋_GB2312" w:cs="仿宋_GB2312"/>
          <w:color w:val="000000"/>
          <w:spacing w:val="0"/>
          <w:sz w:val="32"/>
          <w:szCs w:val="32"/>
          <w:shd w:val="clear" w:color="auto" w:fill="auto"/>
        </w:rPr>
      </w:pPr>
      <w:r>
        <w:rPr>
          <w:rFonts w:hint="eastAsia" w:ascii="仿宋_GB2312" w:hAnsi="仿宋_GB2312" w:eastAsia="仿宋_GB2312" w:cs="仿宋_GB2312"/>
          <w:color w:val="000000"/>
          <w:sz w:val="32"/>
          <w:szCs w:val="32"/>
          <w:shd w:val="clear" w:color="auto" w:fill="auto"/>
        </w:rPr>
        <w:t>村</w:t>
      </w:r>
      <w:r>
        <w:rPr>
          <w:rFonts w:hint="eastAsia" w:ascii="仿宋_GB2312" w:hAnsi="仿宋_GB2312" w:eastAsia="仿宋_GB2312" w:cs="仿宋_GB2312"/>
          <w:color w:val="000000"/>
          <w:spacing w:val="0"/>
          <w:sz w:val="32"/>
          <w:szCs w:val="32"/>
          <w:shd w:val="clear" w:color="auto" w:fill="auto"/>
        </w:rPr>
        <w:t>（居）委员会应当协助做好红色文化遗存保护的相关工作。</w:t>
      </w:r>
    </w:p>
    <w:p>
      <w:pPr>
        <w:keepNext w:val="0"/>
        <w:keepLines w:val="0"/>
        <w:pageBreakBefore w:val="0"/>
        <w:widowControl w:val="0"/>
        <w:kinsoku/>
        <w:wordWrap/>
        <w:overflowPunct/>
        <w:topLinePunct w:val="0"/>
        <w:autoSpaceDE/>
        <w:autoSpaceDN/>
        <w:bidi w:val="0"/>
        <w:adjustRightInd w:val="0"/>
        <w:snapToGrid w:val="0"/>
        <w:spacing w:beforeLines="0" w:afterLines="0" w:line="560" w:lineRule="exact"/>
        <w:ind w:firstLine="640" w:firstLineChars="200"/>
        <w:textAlignment w:val="auto"/>
        <w:rPr>
          <w:rFonts w:hint="eastAsia" w:ascii="仿宋_GB2312" w:hAnsi="仿宋_GB2312" w:eastAsia="仿宋_GB2312" w:cs="仿宋_GB2312"/>
          <w:color w:val="000000"/>
          <w:sz w:val="32"/>
          <w:szCs w:val="32"/>
          <w:lang w:val="en-US" w:eastAsia="zh-CN"/>
        </w:rPr>
      </w:pPr>
      <w:r>
        <w:rPr>
          <w:rFonts w:hint="eastAsia" w:ascii="黑体" w:hAnsi="黑体" w:eastAsia="黑体" w:cs="黑体"/>
          <w:color w:val="000000"/>
          <w:sz w:val="32"/>
          <w:szCs w:val="32"/>
        </w:rPr>
        <w:t>第六条</w:t>
      </w:r>
      <w:r>
        <w:rPr>
          <w:rFonts w:ascii="黑体" w:hAnsi="黑体" w:eastAsia="黑体" w:cs="黑体"/>
          <w:color w:val="000000"/>
          <w:sz w:val="32"/>
          <w:szCs w:val="32"/>
        </w:rPr>
        <w:t xml:space="preserve">  </w:t>
      </w:r>
      <w:r>
        <w:rPr>
          <w:rFonts w:hint="eastAsia" w:ascii="仿宋_GB2312" w:hAnsi="仿宋_GB2312" w:eastAsia="仿宋_GB2312" w:cs="仿宋_GB2312"/>
          <w:color w:val="auto"/>
          <w:sz w:val="32"/>
          <w:szCs w:val="32"/>
        </w:rPr>
        <w:t>县级以上地方人民政府</w:t>
      </w:r>
      <w:r>
        <w:rPr>
          <w:rFonts w:hint="eastAsia" w:ascii="仿宋_GB2312" w:hAnsi="仿宋_GB2312" w:eastAsia="仿宋_GB2312" w:cs="仿宋_GB2312"/>
          <w:color w:val="auto"/>
          <w:sz w:val="32"/>
          <w:szCs w:val="32"/>
          <w:shd w:val="clear" w:color="auto" w:fill="auto"/>
        </w:rPr>
        <w:t>文物、民政、退役军人事务、档案等</w:t>
      </w:r>
      <w:r>
        <w:rPr>
          <w:rFonts w:hint="eastAsia" w:ascii="仿宋_GB2312" w:hAnsi="仿宋_GB2312" w:eastAsia="仿宋_GB2312" w:cs="仿宋_GB2312"/>
          <w:color w:val="000000"/>
          <w:spacing w:val="0"/>
          <w:kern w:val="2"/>
          <w:sz w:val="32"/>
          <w:szCs w:val="32"/>
          <w:lang w:val="en-US" w:eastAsia="zh-CN" w:bidi="ar-SA"/>
        </w:rPr>
        <w:t>部门（以下统称红色文化遗存管理部门）按</w:t>
      </w:r>
      <w:r>
        <w:rPr>
          <w:rFonts w:hint="eastAsia" w:ascii="仿宋_GB2312" w:hAnsi="仿宋_GB2312" w:eastAsia="仿宋_GB2312" w:cs="仿宋_GB2312"/>
          <w:color w:val="000000"/>
          <w:sz w:val="32"/>
          <w:szCs w:val="32"/>
          <w:lang w:val="en-US" w:eastAsia="zh-CN"/>
        </w:rPr>
        <w:t>照各自职责，负责本行政区域内红色文化遗存保护的具体管理工作：</w:t>
      </w:r>
    </w:p>
    <w:p>
      <w:pPr>
        <w:keepNext w:val="0"/>
        <w:keepLines w:val="0"/>
        <w:pageBreakBefore w:val="0"/>
        <w:widowControl w:val="0"/>
        <w:kinsoku/>
        <w:wordWrap/>
        <w:overflowPunct/>
        <w:topLinePunct w:val="0"/>
        <w:autoSpaceDE/>
        <w:autoSpaceDN/>
        <w:bidi w:val="0"/>
        <w:adjustRightInd w:val="0"/>
        <w:snapToGrid w:val="0"/>
        <w:spacing w:beforeLines="0" w:afterLines="0" w:line="560" w:lineRule="exact"/>
        <w:ind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color w:val="000000"/>
          <w:sz w:val="32"/>
          <w:szCs w:val="32"/>
          <w:lang w:val="en-US" w:eastAsia="zh-CN"/>
        </w:rPr>
        <w:t>一</w:t>
      </w: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color w:val="000000"/>
          <w:sz w:val="32"/>
          <w:szCs w:val="32"/>
        </w:rPr>
        <w:t>文物部门负责列入革命文物的红色文化遗存保护管理工作</w:t>
      </w:r>
      <w:r>
        <w:rPr>
          <w:rFonts w:hint="eastAsia" w:ascii="仿宋_GB2312" w:hAnsi="仿宋_GB2312" w:eastAsia="仿宋_GB2312" w:cs="仿宋_GB2312"/>
          <w:color w:val="000000"/>
          <w:sz w:val="32"/>
          <w:szCs w:val="32"/>
          <w:lang w:eastAsia="zh-CN"/>
        </w:rPr>
        <w:t>；</w:t>
      </w:r>
    </w:p>
    <w:p>
      <w:pPr>
        <w:keepNext w:val="0"/>
        <w:keepLines w:val="0"/>
        <w:pageBreakBefore w:val="0"/>
        <w:widowControl w:val="0"/>
        <w:kinsoku/>
        <w:wordWrap/>
        <w:overflowPunct/>
        <w:topLinePunct w:val="0"/>
        <w:autoSpaceDE/>
        <w:autoSpaceDN/>
        <w:bidi w:val="0"/>
        <w:adjustRightInd w:val="0"/>
        <w:snapToGrid w:val="0"/>
        <w:spacing w:beforeLines="0" w:afterLines="0" w:line="560" w:lineRule="exact"/>
        <w:ind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color w:val="000000"/>
          <w:sz w:val="32"/>
          <w:szCs w:val="32"/>
          <w:lang w:val="en-US" w:eastAsia="zh-CN"/>
        </w:rPr>
        <w:t>二</w:t>
      </w: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color w:val="000000"/>
          <w:spacing w:val="-6"/>
          <w:sz w:val="32"/>
          <w:szCs w:val="32"/>
        </w:rPr>
        <w:t>民政部门负责除烈士纪念设施以外</w:t>
      </w:r>
      <w:r>
        <w:rPr>
          <w:rFonts w:hint="eastAsia" w:ascii="仿宋_GB2312" w:hAnsi="仿宋_GB2312" w:eastAsia="仿宋_GB2312" w:cs="仿宋_GB2312"/>
          <w:color w:val="000000"/>
          <w:sz w:val="32"/>
          <w:szCs w:val="32"/>
        </w:rPr>
        <w:t>未列入革命文物的不可移动红色文化遗存保护管理工作</w:t>
      </w:r>
      <w:r>
        <w:rPr>
          <w:rFonts w:hint="eastAsia" w:ascii="仿宋_GB2312" w:hAnsi="仿宋_GB2312" w:eastAsia="仿宋_GB2312" w:cs="仿宋_GB2312"/>
          <w:color w:val="000000"/>
          <w:sz w:val="32"/>
          <w:szCs w:val="32"/>
          <w:lang w:eastAsia="zh-CN"/>
        </w:rPr>
        <w:t>；</w:t>
      </w:r>
    </w:p>
    <w:p>
      <w:pPr>
        <w:keepNext w:val="0"/>
        <w:keepLines w:val="0"/>
        <w:pageBreakBefore w:val="0"/>
        <w:widowControl w:val="0"/>
        <w:kinsoku/>
        <w:wordWrap/>
        <w:overflowPunct/>
        <w:topLinePunct w:val="0"/>
        <w:autoSpaceDE/>
        <w:autoSpaceDN/>
        <w:bidi w:val="0"/>
        <w:adjustRightInd w:val="0"/>
        <w:snapToGrid w:val="0"/>
        <w:spacing w:beforeLines="0" w:afterLines="0" w:line="560" w:lineRule="exact"/>
        <w:ind w:firstLine="640" w:firstLineChars="200"/>
        <w:textAlignment w:val="auto"/>
        <w:rPr>
          <w:rFonts w:hint="eastAsia" w:ascii="仿宋_GB2312" w:hAnsi="仿宋_GB2312" w:eastAsia="仿宋_GB2312" w:cs="仿宋_GB2312"/>
          <w:color w:val="000000"/>
          <w:spacing w:val="-6"/>
          <w:sz w:val="32"/>
          <w:szCs w:val="32"/>
        </w:rPr>
      </w:pP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color w:val="000000"/>
          <w:sz w:val="32"/>
          <w:szCs w:val="32"/>
          <w:lang w:val="en-US" w:eastAsia="zh-CN"/>
        </w:rPr>
        <w:t>三</w:t>
      </w: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color w:val="000000"/>
          <w:spacing w:val="-6"/>
          <w:sz w:val="32"/>
          <w:szCs w:val="32"/>
        </w:rPr>
        <w:t>退役军人事务部门负责烈士纪念设施的保护管理工作</w:t>
      </w:r>
      <w:r>
        <w:rPr>
          <w:rFonts w:hint="eastAsia" w:ascii="仿宋_GB2312" w:hAnsi="仿宋_GB2312" w:eastAsia="仿宋_GB2312" w:cs="仿宋_GB2312"/>
          <w:color w:val="000000"/>
          <w:spacing w:val="-6"/>
          <w:sz w:val="32"/>
          <w:szCs w:val="32"/>
          <w:lang w:eastAsia="zh-CN"/>
        </w:rPr>
        <w:t>；</w:t>
      </w:r>
    </w:p>
    <w:p>
      <w:pPr>
        <w:keepNext w:val="0"/>
        <w:keepLines w:val="0"/>
        <w:pageBreakBefore w:val="0"/>
        <w:widowControl w:val="0"/>
        <w:kinsoku/>
        <w:wordWrap/>
        <w:overflowPunct/>
        <w:topLinePunct w:val="0"/>
        <w:autoSpaceDE/>
        <w:autoSpaceDN/>
        <w:bidi w:val="0"/>
        <w:adjustRightInd w:val="0"/>
        <w:snapToGrid w:val="0"/>
        <w:spacing w:beforeLines="0" w:afterLines="0" w:line="560" w:lineRule="exact"/>
        <w:ind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color w:val="000000"/>
          <w:sz w:val="32"/>
          <w:szCs w:val="32"/>
          <w:lang w:val="en-US" w:eastAsia="zh-CN"/>
        </w:rPr>
        <w:t>四</w:t>
      </w: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color w:val="000000"/>
          <w:sz w:val="32"/>
          <w:szCs w:val="32"/>
        </w:rPr>
        <w:t>档案</w:t>
      </w:r>
      <w:r>
        <w:rPr>
          <w:rFonts w:hint="eastAsia" w:ascii="仿宋_GB2312" w:hAnsi="仿宋_GB2312" w:eastAsia="仿宋_GB2312" w:cs="仿宋_GB2312"/>
          <w:color w:val="000000"/>
          <w:sz w:val="32"/>
          <w:szCs w:val="32"/>
          <w:lang w:val="en-US" w:eastAsia="zh-CN"/>
        </w:rPr>
        <w:t>主管</w:t>
      </w:r>
      <w:r>
        <w:rPr>
          <w:rFonts w:hint="eastAsia" w:ascii="仿宋_GB2312" w:hAnsi="仿宋_GB2312" w:eastAsia="仿宋_GB2312" w:cs="仿宋_GB2312"/>
          <w:color w:val="000000"/>
          <w:sz w:val="32"/>
          <w:szCs w:val="32"/>
        </w:rPr>
        <w:t>部门负责红色档案的保护管理工作。</w:t>
      </w:r>
    </w:p>
    <w:p>
      <w:pPr>
        <w:keepNext w:val="0"/>
        <w:keepLines w:val="0"/>
        <w:pageBreakBefore w:val="0"/>
        <w:widowControl w:val="0"/>
        <w:kinsoku/>
        <w:wordWrap/>
        <w:overflowPunct/>
        <w:topLinePunct w:val="0"/>
        <w:autoSpaceDE/>
        <w:autoSpaceDN/>
        <w:bidi w:val="0"/>
        <w:adjustRightInd w:val="0"/>
        <w:snapToGrid w:val="0"/>
        <w:spacing w:beforeLines="0" w:afterLines="0" w:line="560" w:lineRule="exact"/>
        <w:ind w:firstLine="640" w:firstLineChars="200"/>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000000"/>
          <w:sz w:val="32"/>
          <w:szCs w:val="32"/>
        </w:rPr>
        <w:t>县级以上地方人民政府发展改革、财政、住房和城乡建设、公安、民族宗教、自然资源、生态环境、</w:t>
      </w:r>
      <w:r>
        <w:rPr>
          <w:rFonts w:hint="eastAsia" w:ascii="仿宋_GB2312" w:hAnsi="仿宋_GB2312" w:eastAsia="仿宋_GB2312" w:cs="仿宋_GB2312"/>
          <w:color w:val="000000"/>
          <w:sz w:val="32"/>
          <w:szCs w:val="32"/>
          <w:lang w:val="en-US" w:eastAsia="zh-CN"/>
        </w:rPr>
        <w:t>文化和</w:t>
      </w:r>
      <w:r>
        <w:rPr>
          <w:rFonts w:hint="eastAsia" w:ascii="仿宋_GB2312" w:hAnsi="仿宋_GB2312" w:eastAsia="仿宋_GB2312" w:cs="仿宋_GB2312"/>
          <w:color w:val="000000"/>
          <w:sz w:val="32"/>
          <w:szCs w:val="32"/>
        </w:rPr>
        <w:t>旅游、消防</w:t>
      </w:r>
      <w:r>
        <w:rPr>
          <w:rFonts w:hint="eastAsia" w:ascii="仿宋_GB2312" w:hAnsi="仿宋_GB2312" w:eastAsia="仿宋_GB2312" w:cs="仿宋_GB2312"/>
          <w:color w:val="auto"/>
          <w:sz w:val="32"/>
          <w:szCs w:val="32"/>
        </w:rPr>
        <w:t>等</w:t>
      </w:r>
      <w:r>
        <w:rPr>
          <w:rFonts w:hint="eastAsia" w:ascii="仿宋_GB2312" w:hAnsi="仿宋_GB2312" w:eastAsia="仿宋_GB2312" w:cs="仿宋_GB2312"/>
          <w:color w:val="auto"/>
          <w:sz w:val="32"/>
          <w:szCs w:val="32"/>
          <w:lang w:eastAsia="zh-CN"/>
        </w:rPr>
        <w:t>有关部门以及党史方志等</w:t>
      </w:r>
      <w:r>
        <w:rPr>
          <w:rFonts w:hint="eastAsia" w:ascii="仿宋_GB2312" w:hAnsi="仿宋_GB2312" w:eastAsia="仿宋_GB2312" w:cs="仿宋_GB2312"/>
          <w:color w:val="auto"/>
          <w:sz w:val="32"/>
          <w:szCs w:val="32"/>
        </w:rPr>
        <w:t>有关单位，在各自职责范围内做好红色文化遗存保护的相关工作。</w:t>
      </w:r>
    </w:p>
    <w:p>
      <w:pPr>
        <w:keepNext w:val="0"/>
        <w:keepLines w:val="0"/>
        <w:pageBreakBefore w:val="0"/>
        <w:widowControl w:val="0"/>
        <w:kinsoku/>
        <w:wordWrap/>
        <w:overflowPunct/>
        <w:topLinePunct w:val="0"/>
        <w:autoSpaceDE/>
        <w:autoSpaceDN/>
        <w:bidi w:val="0"/>
        <w:adjustRightInd w:val="0"/>
        <w:snapToGrid w:val="0"/>
        <w:spacing w:beforeLines="0" w:afterLines="0" w:line="560" w:lineRule="exact"/>
        <w:ind w:left="0" w:leftChars="0" w:right="0" w:rightChars="0" w:firstLine="640" w:firstLineChars="200"/>
        <w:jc w:val="both"/>
        <w:textAlignment w:val="auto"/>
        <w:rPr>
          <w:rFonts w:ascii="仿宋_GB2312" w:hAnsi="仿宋_GB2312" w:eastAsia="仿宋_GB2312" w:cs="仿宋_GB2312"/>
          <w:color w:val="000000"/>
          <w:sz w:val="32"/>
          <w:szCs w:val="32"/>
        </w:rPr>
      </w:pPr>
      <w:r>
        <w:rPr>
          <w:rFonts w:hint="eastAsia" w:ascii="黑体" w:hAnsi="黑体" w:eastAsia="黑体" w:cs="黑体"/>
          <w:color w:val="000000"/>
          <w:sz w:val="32"/>
          <w:szCs w:val="32"/>
        </w:rPr>
        <w:t>第七条</w:t>
      </w:r>
      <w:r>
        <w:rPr>
          <w:rFonts w:ascii="黑体" w:hAnsi="黑体" w:eastAsia="黑体" w:cs="黑体"/>
          <w:color w:val="000000"/>
          <w:sz w:val="32"/>
          <w:szCs w:val="32"/>
        </w:rPr>
        <w:t xml:space="preserve">  </w:t>
      </w:r>
      <w:r>
        <w:rPr>
          <w:rFonts w:hint="eastAsia" w:ascii="仿宋_GB2312" w:hAnsi="仿宋_GB2312" w:eastAsia="仿宋_GB2312" w:cs="仿宋_GB2312"/>
          <w:color w:val="000000"/>
          <w:sz w:val="32"/>
          <w:szCs w:val="32"/>
        </w:rPr>
        <w:t>鼓励单位和个人通过捐资、捐赠、志愿服务和技术支持等方式参与红色文化遗存的保护。</w:t>
      </w:r>
    </w:p>
    <w:p>
      <w:pPr>
        <w:keepNext w:val="0"/>
        <w:keepLines w:val="0"/>
        <w:pageBreakBefore w:val="0"/>
        <w:widowControl w:val="0"/>
        <w:kinsoku/>
        <w:wordWrap/>
        <w:overflowPunct/>
        <w:topLinePunct w:val="0"/>
        <w:autoSpaceDE/>
        <w:autoSpaceDN/>
        <w:bidi w:val="0"/>
        <w:adjustRightInd w:val="0"/>
        <w:snapToGrid w:val="0"/>
        <w:spacing w:beforeLines="0" w:afterLines="0" w:line="560" w:lineRule="exact"/>
        <w:ind w:firstLine="640" w:firstLineChars="200"/>
        <w:textAlignment w:val="auto"/>
        <w:rPr>
          <w:rFonts w:ascii="仿宋_GB2312" w:hAnsi="仿宋_GB2312" w:eastAsia="仿宋_GB2312" w:cs="仿宋_GB2312"/>
          <w:color w:val="000000"/>
          <w:sz w:val="32"/>
          <w:szCs w:val="32"/>
        </w:rPr>
      </w:pPr>
      <w:r>
        <w:rPr>
          <w:rFonts w:hint="eastAsia" w:ascii="黑体" w:hAnsi="黑体" w:eastAsia="黑体" w:cs="黑体"/>
          <w:color w:val="000000"/>
          <w:sz w:val="32"/>
          <w:szCs w:val="32"/>
        </w:rPr>
        <w:t>第八条</w:t>
      </w:r>
      <w:r>
        <w:rPr>
          <w:rFonts w:ascii="黑体" w:hAnsi="黑体" w:eastAsia="黑体" w:cs="黑体"/>
          <w:color w:val="000000"/>
          <w:sz w:val="32"/>
          <w:szCs w:val="32"/>
        </w:rPr>
        <w:t xml:space="preserve">  </w:t>
      </w:r>
      <w:r>
        <w:rPr>
          <w:rFonts w:hint="eastAsia" w:ascii="仿宋_GB2312" w:hAnsi="仿宋_GB2312" w:eastAsia="仿宋_GB2312" w:cs="仿宋_GB2312"/>
          <w:color w:val="000000"/>
          <w:sz w:val="32"/>
          <w:szCs w:val="32"/>
        </w:rPr>
        <w:t>任何单位和个人不得破坏、损毁、侵占红色文化遗存，有权制止和检举破坏、损毁、侵占红色文化遗存的行为。</w:t>
      </w:r>
    </w:p>
    <w:p>
      <w:pPr>
        <w:keepNext w:val="0"/>
        <w:keepLines w:val="0"/>
        <w:pageBreakBefore w:val="0"/>
        <w:widowControl w:val="0"/>
        <w:numPr>
          <w:ilvl w:val="0"/>
          <w:numId w:val="1"/>
        </w:numPr>
        <w:kinsoku/>
        <w:wordWrap/>
        <w:overflowPunct/>
        <w:topLinePunct w:val="0"/>
        <w:autoSpaceDE/>
        <w:autoSpaceDN/>
        <w:bidi w:val="0"/>
        <w:adjustRightInd w:val="0"/>
        <w:snapToGrid w:val="0"/>
        <w:spacing w:before="157" w:beforeLines="50" w:after="157" w:afterLines="50" w:line="560" w:lineRule="exact"/>
        <w:ind w:left="0" w:leftChars="0" w:right="0" w:rightChars="0"/>
        <w:jc w:val="center"/>
        <w:textAlignment w:val="auto"/>
        <w:outlineLvl w:val="9"/>
        <w:rPr>
          <w:rFonts w:ascii="仿宋_GB2312" w:hAnsi="仿宋_GB2312" w:eastAsia="仿宋_GB2312" w:cs="仿宋_GB2312"/>
          <w:bCs/>
          <w:color w:val="000000"/>
          <w:sz w:val="32"/>
          <w:szCs w:val="32"/>
        </w:rPr>
      </w:pPr>
      <w:r>
        <w:rPr>
          <w:rFonts w:hint="default" w:ascii="黑体" w:hAnsi="黑体" w:eastAsia="黑体" w:cs="黑体"/>
          <w:color w:val="000000"/>
          <w:sz w:val="32"/>
          <w:szCs w:val="32"/>
          <w:lang w:val="en"/>
        </w:rPr>
        <w:t xml:space="preserve"> </w:t>
      </w:r>
      <w:r>
        <w:rPr>
          <w:rFonts w:hint="eastAsia" w:ascii="黑体" w:hAnsi="黑体" w:eastAsia="黑体" w:cs="黑体"/>
          <w:color w:val="000000"/>
          <w:sz w:val="32"/>
          <w:szCs w:val="32"/>
        </w:rPr>
        <w:t>调查认定</w:t>
      </w:r>
    </w:p>
    <w:p>
      <w:pPr>
        <w:keepNext w:val="0"/>
        <w:keepLines w:val="0"/>
        <w:pageBreakBefore w:val="0"/>
        <w:widowControl w:val="0"/>
        <w:kinsoku/>
        <w:wordWrap/>
        <w:overflowPunct/>
        <w:topLinePunct w:val="0"/>
        <w:autoSpaceDE/>
        <w:autoSpaceDN/>
        <w:bidi w:val="0"/>
        <w:adjustRightInd w:val="0"/>
        <w:snapToGrid w:val="0"/>
        <w:spacing w:beforeLines="0" w:afterLines="0" w:line="560" w:lineRule="exact"/>
        <w:ind w:firstLine="640" w:firstLineChars="200"/>
        <w:textAlignment w:val="auto"/>
        <w:rPr>
          <w:rFonts w:hint="eastAsia" w:ascii="仿宋_GB2312" w:hAnsi="仿宋_GB2312" w:eastAsia="仿宋_GB2312" w:cs="仿宋_GB2312"/>
          <w:color w:val="000000"/>
          <w:sz w:val="32"/>
          <w:szCs w:val="32"/>
          <w:lang w:val="en-US" w:eastAsia="zh-CN"/>
        </w:rPr>
      </w:pPr>
      <w:r>
        <w:rPr>
          <w:rFonts w:hint="eastAsia" w:ascii="黑体" w:hAnsi="黑体" w:eastAsia="黑体" w:cs="黑体"/>
          <w:bCs/>
          <w:color w:val="000000"/>
          <w:sz w:val="32"/>
          <w:szCs w:val="32"/>
        </w:rPr>
        <w:t>第</w:t>
      </w:r>
      <w:r>
        <w:rPr>
          <w:rFonts w:hint="eastAsia" w:ascii="黑体" w:hAnsi="黑体" w:eastAsia="黑体" w:cs="黑体"/>
          <w:bCs/>
          <w:color w:val="000000"/>
          <w:sz w:val="32"/>
          <w:szCs w:val="32"/>
          <w:lang w:val="en-US" w:eastAsia="zh-CN"/>
        </w:rPr>
        <w:t>九</w:t>
      </w:r>
      <w:r>
        <w:rPr>
          <w:rFonts w:hint="eastAsia" w:ascii="黑体" w:hAnsi="黑体" w:eastAsia="黑体" w:cs="黑体"/>
          <w:bCs/>
          <w:color w:val="000000"/>
          <w:sz w:val="32"/>
          <w:szCs w:val="32"/>
        </w:rPr>
        <w:t>条</w:t>
      </w:r>
      <w:r>
        <w:rPr>
          <w:rFonts w:hint="eastAsia" w:ascii="仿宋_GB2312" w:hAnsi="仿宋_GB2312" w:eastAsia="仿宋_GB2312" w:cs="仿宋_GB2312"/>
          <w:color w:val="000000"/>
          <w:sz w:val="32"/>
          <w:szCs w:val="32"/>
        </w:rPr>
        <w:t>　</w:t>
      </w:r>
      <w:r>
        <w:rPr>
          <w:rFonts w:hint="eastAsia" w:ascii="仿宋_GB2312" w:hAnsi="仿宋_GB2312" w:eastAsia="仿宋_GB2312" w:cs="仿宋_GB2312"/>
          <w:color w:val="auto"/>
          <w:sz w:val="32"/>
          <w:szCs w:val="32"/>
        </w:rPr>
        <w:t>县级人民政府应当定期组织红色文化遗</w:t>
      </w:r>
      <w:r>
        <w:rPr>
          <w:rFonts w:hint="eastAsia" w:ascii="仿宋_GB2312" w:hAnsi="仿宋_GB2312" w:eastAsia="仿宋_GB2312" w:cs="仿宋_GB2312"/>
          <w:color w:val="000000"/>
          <w:sz w:val="32"/>
          <w:szCs w:val="32"/>
        </w:rPr>
        <w:t>存管</w:t>
      </w:r>
      <w:r>
        <w:rPr>
          <w:rFonts w:hint="eastAsia" w:ascii="仿宋_GB2312" w:hAnsi="仿宋_GB2312" w:eastAsia="仿宋_GB2312" w:cs="仿宋_GB2312"/>
          <w:color w:val="000000"/>
          <w:sz w:val="32"/>
          <w:szCs w:val="32"/>
          <w:lang w:eastAsia="zh-CN"/>
        </w:rPr>
        <w:t>理</w:t>
      </w:r>
      <w:r>
        <w:rPr>
          <w:rFonts w:hint="eastAsia" w:ascii="仿宋_GB2312" w:hAnsi="仿宋_GB2312" w:eastAsia="仿宋_GB2312" w:cs="仿宋_GB2312"/>
          <w:color w:val="000000"/>
          <w:sz w:val="32"/>
          <w:szCs w:val="32"/>
        </w:rPr>
        <w:t>部门以及党史方志等有关单位开展红色文化遗</w:t>
      </w:r>
      <w:r>
        <w:rPr>
          <w:rFonts w:hint="eastAsia" w:ascii="仿宋_GB2312" w:hAnsi="仿宋_GB2312" w:eastAsia="仿宋_GB2312" w:cs="仿宋_GB2312"/>
          <w:color w:val="000000"/>
          <w:sz w:val="32"/>
          <w:szCs w:val="32"/>
          <w:lang w:val="en-US" w:eastAsia="zh-CN"/>
        </w:rPr>
        <w:t>存调查，建立红色文化遗存调查档案和数据库，并报省</w:t>
      </w:r>
      <w:r>
        <w:rPr>
          <w:rFonts w:hint="eastAsia" w:ascii="仿宋_GB2312" w:hAnsi="仿宋_GB2312" w:eastAsia="仿宋_GB2312" w:cs="仿宋_GB2312"/>
          <w:color w:val="000000"/>
          <w:sz w:val="32"/>
          <w:szCs w:val="32"/>
        </w:rPr>
        <w:t>人民政府</w:t>
      </w:r>
      <w:r>
        <w:rPr>
          <w:rFonts w:hint="eastAsia" w:ascii="仿宋_GB2312" w:hAnsi="仿宋_GB2312" w:eastAsia="仿宋_GB2312" w:cs="仿宋_GB2312"/>
          <w:color w:val="000000"/>
          <w:sz w:val="32"/>
          <w:szCs w:val="32"/>
          <w:lang w:val="en-US" w:eastAsia="zh-CN"/>
        </w:rPr>
        <w:t xml:space="preserve">红色文化遗存管理部门备案。 </w:t>
      </w:r>
    </w:p>
    <w:p>
      <w:pPr>
        <w:keepNext w:val="0"/>
        <w:keepLines w:val="0"/>
        <w:pageBreakBefore w:val="0"/>
        <w:widowControl w:val="0"/>
        <w:kinsoku/>
        <w:wordWrap/>
        <w:overflowPunct/>
        <w:topLinePunct w:val="0"/>
        <w:autoSpaceDE/>
        <w:autoSpaceDN/>
        <w:bidi w:val="0"/>
        <w:adjustRightInd w:val="0"/>
        <w:snapToGrid w:val="0"/>
        <w:spacing w:beforeLines="0" w:afterLines="0" w:line="560" w:lineRule="exact"/>
        <w:ind w:firstLine="640" w:firstLineChars="200"/>
        <w:textAlignment w:val="auto"/>
        <w:rPr>
          <w:rFonts w:hint="eastAsia" w:ascii="仿宋_GB2312" w:hAnsi="仿宋_GB2312" w:eastAsia="仿宋_GB2312" w:cs="仿宋_GB2312"/>
          <w:color w:val="000000"/>
          <w:sz w:val="32"/>
          <w:szCs w:val="32"/>
          <w:shd w:val="clear" w:color="FFFFFF" w:fill="D9D9D9"/>
        </w:rPr>
      </w:pPr>
      <w:r>
        <w:rPr>
          <w:rFonts w:hint="eastAsia" w:ascii="仿宋_GB2312" w:hAnsi="仿宋_GB2312" w:eastAsia="仿宋_GB2312" w:cs="仿宋_GB2312"/>
          <w:color w:val="000000"/>
          <w:sz w:val="32"/>
          <w:szCs w:val="32"/>
        </w:rPr>
        <w:t>单位和个人提供未经认定和公布的红色文化遗存信息的，县级人民政府红色文化遗存管</w:t>
      </w:r>
      <w:r>
        <w:rPr>
          <w:rFonts w:hint="eastAsia" w:ascii="仿宋_GB2312" w:hAnsi="仿宋_GB2312" w:eastAsia="仿宋_GB2312" w:cs="仿宋_GB2312"/>
          <w:color w:val="000000"/>
          <w:sz w:val="32"/>
          <w:szCs w:val="32"/>
          <w:lang w:eastAsia="zh-CN"/>
        </w:rPr>
        <w:t>理</w:t>
      </w:r>
      <w:r>
        <w:rPr>
          <w:rFonts w:hint="eastAsia" w:ascii="仿宋_GB2312" w:hAnsi="仿宋_GB2312" w:eastAsia="仿宋_GB2312" w:cs="仿宋_GB2312"/>
          <w:color w:val="000000"/>
          <w:sz w:val="32"/>
          <w:szCs w:val="32"/>
        </w:rPr>
        <w:t>部门</w:t>
      </w:r>
      <w:r>
        <w:rPr>
          <w:rFonts w:hint="eastAsia" w:ascii="仿宋_GB2312" w:hAnsi="仿宋_GB2312" w:eastAsia="仿宋_GB2312" w:cs="仿宋_GB2312"/>
          <w:color w:val="auto"/>
          <w:sz w:val="32"/>
          <w:szCs w:val="32"/>
        </w:rPr>
        <w:t>应当及时组织调查。</w:t>
      </w:r>
    </w:p>
    <w:p>
      <w:pPr>
        <w:keepNext w:val="0"/>
        <w:keepLines w:val="0"/>
        <w:pageBreakBefore w:val="0"/>
        <w:widowControl w:val="0"/>
        <w:kinsoku/>
        <w:wordWrap/>
        <w:overflowPunct/>
        <w:topLinePunct w:val="0"/>
        <w:autoSpaceDE/>
        <w:autoSpaceDN/>
        <w:bidi w:val="0"/>
        <w:adjustRightInd w:val="0"/>
        <w:snapToGrid w:val="0"/>
        <w:spacing w:beforeLines="0" w:afterLines="0" w:line="560" w:lineRule="exact"/>
        <w:ind w:firstLine="640" w:firstLineChars="200"/>
        <w:textAlignment w:val="auto"/>
        <w:rPr>
          <w:rFonts w:ascii="仿宋_GB2312" w:hAnsi="仿宋_GB2312" w:eastAsia="仿宋_GB2312" w:cs="仿宋_GB2312"/>
          <w:color w:val="000000"/>
          <w:sz w:val="32"/>
          <w:szCs w:val="32"/>
        </w:rPr>
      </w:pPr>
      <w:r>
        <w:rPr>
          <w:rFonts w:hint="eastAsia" w:ascii="黑体" w:hAnsi="黑体" w:eastAsia="黑体" w:cs="黑体"/>
          <w:kern w:val="0"/>
          <w:sz w:val="32"/>
          <w:szCs w:val="32"/>
        </w:rPr>
        <w:t>第十条</w:t>
      </w:r>
      <w:r>
        <w:rPr>
          <w:rFonts w:ascii="黑体" w:hAnsi="黑体" w:eastAsia="黑体" w:cs="黑体"/>
          <w:kern w:val="0"/>
          <w:sz w:val="32"/>
          <w:szCs w:val="32"/>
        </w:rPr>
        <w:t xml:space="preserve">  </w:t>
      </w:r>
      <w:r>
        <w:rPr>
          <w:rFonts w:hint="eastAsia" w:ascii="仿宋_GB2312" w:hAnsi="仿宋_GB2312" w:eastAsia="仿宋_GB2312" w:cs="仿宋_GB2312"/>
          <w:color w:val="000000"/>
          <w:sz w:val="32"/>
          <w:szCs w:val="32"/>
        </w:rPr>
        <w:t>红色文化遗存实行认定制度</w:t>
      </w:r>
      <w:r>
        <w:rPr>
          <w:rFonts w:hint="eastAsia" w:ascii="仿宋_GB2312" w:hAnsi="仿宋_GB2312" w:eastAsia="仿宋_GB2312" w:cs="仿宋_GB2312"/>
          <w:color w:val="auto"/>
          <w:sz w:val="32"/>
          <w:szCs w:val="32"/>
          <w:lang w:eastAsia="zh-CN"/>
        </w:rPr>
        <w:t>，按照下列规定进行认定和公布</w:t>
      </w:r>
      <w:r>
        <w:rPr>
          <w:rFonts w:hint="eastAsia" w:ascii="仿宋_GB2312" w:hAnsi="仿宋_GB2312" w:eastAsia="仿宋_GB2312" w:cs="仿宋_GB2312"/>
          <w:color w:val="000000"/>
          <w:sz w:val="32"/>
          <w:szCs w:val="32"/>
        </w:rPr>
        <w:t>：</w:t>
      </w:r>
    </w:p>
    <w:p>
      <w:pPr>
        <w:keepNext w:val="0"/>
        <w:keepLines w:val="0"/>
        <w:pageBreakBefore w:val="0"/>
        <w:widowControl w:val="0"/>
        <w:kinsoku/>
        <w:wordWrap/>
        <w:overflowPunct/>
        <w:topLinePunct w:val="0"/>
        <w:autoSpaceDE/>
        <w:autoSpaceDN/>
        <w:bidi w:val="0"/>
        <w:adjustRightInd w:val="0"/>
        <w:snapToGrid w:val="0"/>
        <w:spacing w:beforeLines="0" w:afterLines="0" w:line="560" w:lineRule="exact"/>
        <w:ind w:firstLine="640" w:firstLineChars="200"/>
        <w:textAlignment w:val="auto"/>
        <w:rPr>
          <w:rFonts w:hint="eastAsia" w:ascii="仿宋_GB2312" w:hAnsi="仿宋_GB2312" w:eastAsia="仿宋_GB2312" w:cs="仿宋_GB2312"/>
          <w:color w:val="000000"/>
          <w:sz w:val="32"/>
          <w:szCs w:val="32"/>
          <w:lang w:eastAsia="zh-CN"/>
        </w:rPr>
      </w:pPr>
      <w:r>
        <w:rPr>
          <w:rFonts w:hint="eastAsia" w:ascii="仿宋_GB2312" w:hAnsi="仿宋_GB2312" w:eastAsia="仿宋_GB2312" w:cs="仿宋_GB2312"/>
          <w:color w:val="000000"/>
          <w:sz w:val="32"/>
          <w:szCs w:val="32"/>
        </w:rPr>
        <w:t>（一）</w:t>
      </w:r>
      <w:r>
        <w:rPr>
          <w:rFonts w:hint="eastAsia" w:ascii="仿宋_GB2312" w:hAnsi="仿宋_GB2312" w:eastAsia="仿宋_GB2312" w:cs="仿宋_GB2312"/>
          <w:color w:val="000000"/>
          <w:sz w:val="32"/>
          <w:szCs w:val="32"/>
          <w:lang w:eastAsia="zh-CN"/>
        </w:rPr>
        <w:t>设区的市范围内的红色文化遗存由设区的市人民政府</w:t>
      </w:r>
      <w:r>
        <w:rPr>
          <w:rFonts w:hint="eastAsia" w:ascii="仿宋_GB2312" w:hAnsi="仿宋_GB2312" w:eastAsia="仿宋_GB2312" w:cs="仿宋_GB2312"/>
          <w:color w:val="000000"/>
          <w:sz w:val="32"/>
          <w:szCs w:val="32"/>
          <w:lang w:val="en-US" w:eastAsia="zh-CN"/>
        </w:rPr>
        <w:t>确定的</w:t>
      </w:r>
      <w:r>
        <w:rPr>
          <w:rFonts w:hint="eastAsia" w:ascii="仿宋_GB2312" w:hAnsi="仿宋_GB2312" w:eastAsia="仿宋_GB2312" w:cs="仿宋_GB2312"/>
          <w:color w:val="000000"/>
          <w:sz w:val="32"/>
          <w:szCs w:val="32"/>
          <w:lang w:eastAsia="zh-CN"/>
        </w:rPr>
        <w:t>红色文化遗存</w:t>
      </w:r>
      <w:r>
        <w:rPr>
          <w:rFonts w:hint="eastAsia" w:ascii="仿宋_GB2312" w:hAnsi="仿宋_GB2312" w:eastAsia="仿宋_GB2312" w:cs="仿宋_GB2312"/>
          <w:color w:val="000000"/>
          <w:sz w:val="32"/>
          <w:szCs w:val="32"/>
          <w:lang w:val="en-US" w:eastAsia="zh-CN"/>
        </w:rPr>
        <w:t>管理</w:t>
      </w:r>
      <w:r>
        <w:rPr>
          <w:rFonts w:hint="eastAsia" w:ascii="仿宋_GB2312" w:hAnsi="仿宋_GB2312" w:eastAsia="仿宋_GB2312" w:cs="仿宋_GB2312"/>
          <w:color w:val="000000"/>
          <w:sz w:val="32"/>
          <w:szCs w:val="32"/>
          <w:lang w:eastAsia="zh-CN"/>
        </w:rPr>
        <w:t>部门认定和公布；</w:t>
      </w:r>
    </w:p>
    <w:p>
      <w:pPr>
        <w:keepNext w:val="0"/>
        <w:keepLines w:val="0"/>
        <w:pageBreakBefore w:val="0"/>
        <w:widowControl w:val="0"/>
        <w:kinsoku/>
        <w:wordWrap/>
        <w:overflowPunct/>
        <w:topLinePunct w:val="0"/>
        <w:autoSpaceDE/>
        <w:autoSpaceDN/>
        <w:bidi w:val="0"/>
        <w:adjustRightInd w:val="0"/>
        <w:snapToGrid w:val="0"/>
        <w:spacing w:beforeLines="0" w:afterLines="0" w:line="560" w:lineRule="exact"/>
        <w:ind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lang w:eastAsia="zh-CN"/>
        </w:rPr>
        <w:t>（二）</w:t>
      </w:r>
      <w:r>
        <w:rPr>
          <w:rFonts w:hint="eastAsia" w:ascii="仿宋_GB2312" w:hAnsi="仿宋_GB2312" w:eastAsia="仿宋_GB2312" w:cs="仿宋_GB2312"/>
          <w:color w:val="000000"/>
          <w:sz w:val="32"/>
          <w:szCs w:val="32"/>
        </w:rPr>
        <w:t>跨设区的市的红色文化遗存由省人民政府红色文化遗存</w:t>
      </w:r>
      <w:r>
        <w:rPr>
          <w:rFonts w:hint="eastAsia" w:ascii="仿宋_GB2312" w:hAnsi="仿宋_GB2312" w:eastAsia="仿宋_GB2312" w:cs="仿宋_GB2312"/>
          <w:color w:val="000000"/>
          <w:sz w:val="32"/>
          <w:szCs w:val="32"/>
          <w:lang w:eastAsia="zh-CN"/>
        </w:rPr>
        <w:t>管理</w:t>
      </w:r>
      <w:r>
        <w:rPr>
          <w:rFonts w:hint="eastAsia" w:ascii="仿宋_GB2312" w:hAnsi="仿宋_GB2312" w:eastAsia="仿宋_GB2312" w:cs="仿宋_GB2312"/>
          <w:color w:val="000000"/>
          <w:sz w:val="32"/>
          <w:szCs w:val="32"/>
        </w:rPr>
        <w:t>部门认定和公布。</w:t>
      </w:r>
    </w:p>
    <w:p>
      <w:pPr>
        <w:keepNext w:val="0"/>
        <w:keepLines w:val="0"/>
        <w:pageBreakBefore w:val="0"/>
        <w:widowControl w:val="0"/>
        <w:kinsoku/>
        <w:wordWrap/>
        <w:overflowPunct/>
        <w:topLinePunct w:val="0"/>
        <w:autoSpaceDE/>
        <w:autoSpaceDN/>
        <w:bidi w:val="0"/>
        <w:adjustRightInd w:val="0"/>
        <w:snapToGrid w:val="0"/>
        <w:spacing w:beforeLines="0" w:afterLines="0" w:line="560" w:lineRule="exact"/>
        <w:ind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sz w:val="32"/>
          <w:szCs w:val="32"/>
        </w:rPr>
        <w:t>第</w:t>
      </w:r>
      <w:r>
        <w:rPr>
          <w:rFonts w:hint="eastAsia" w:ascii="黑体" w:hAnsi="黑体" w:eastAsia="黑体" w:cs="黑体"/>
          <w:sz w:val="32"/>
          <w:szCs w:val="32"/>
          <w:lang w:val="en-US" w:eastAsia="zh-CN"/>
        </w:rPr>
        <w:t>十一</w:t>
      </w:r>
      <w:r>
        <w:rPr>
          <w:rFonts w:hint="eastAsia" w:ascii="黑体" w:hAnsi="黑体" w:eastAsia="黑体" w:cs="黑体"/>
          <w:sz w:val="32"/>
          <w:szCs w:val="32"/>
        </w:rPr>
        <w:t>条</w:t>
      </w:r>
      <w:r>
        <w:rPr>
          <w:rFonts w:hint="eastAsia" w:ascii="仿宋_GB2312" w:hAnsi="仿宋_GB2312" w:eastAsia="仿宋_GB2312" w:cs="仿宋_GB2312"/>
          <w:b/>
          <w:bCs/>
          <w:sz w:val="32"/>
          <w:szCs w:val="32"/>
        </w:rPr>
        <w:t>　</w:t>
      </w:r>
      <w:r>
        <w:rPr>
          <w:rFonts w:hint="eastAsia" w:ascii="仿宋_GB2312" w:hAnsi="仿宋_GB2312" w:eastAsia="仿宋_GB2312" w:cs="仿宋_GB2312"/>
          <w:color w:val="000000"/>
          <w:sz w:val="32"/>
          <w:szCs w:val="32"/>
          <w:lang w:val="en-US" w:eastAsia="zh-CN"/>
        </w:rPr>
        <w:t>红色文化遗存管理部门等有关单位</w:t>
      </w:r>
      <w:r>
        <w:rPr>
          <w:rFonts w:hint="eastAsia" w:ascii="仿宋_GB2312" w:hAnsi="仿宋_GB2312" w:eastAsia="仿宋_GB2312" w:cs="仿宋_GB2312"/>
          <w:color w:val="000000"/>
          <w:sz w:val="32"/>
          <w:szCs w:val="32"/>
        </w:rPr>
        <w:t>调查后拟申请认定为红色文化遗存的，县级人民政府应当在红色文化遗存所在地进行公示，公示期</w:t>
      </w:r>
      <w:r>
        <w:rPr>
          <w:rFonts w:hint="eastAsia" w:ascii="仿宋_GB2312" w:hAnsi="仿宋_GB2312" w:eastAsia="仿宋_GB2312" w:cs="仿宋_GB2312"/>
          <w:color w:val="000000"/>
          <w:sz w:val="32"/>
          <w:szCs w:val="32"/>
          <w:lang w:val="en-US" w:eastAsia="zh-CN"/>
        </w:rPr>
        <w:t>不得少于</w:t>
      </w:r>
      <w:r>
        <w:rPr>
          <w:rFonts w:hint="eastAsia" w:ascii="仿宋_GB2312" w:hAnsi="仿宋_GB2312" w:eastAsia="仿宋_GB2312" w:cs="仿宋_GB2312"/>
          <w:color w:val="000000"/>
          <w:sz w:val="32"/>
          <w:szCs w:val="32"/>
        </w:rPr>
        <w:t>二十日。</w:t>
      </w:r>
    </w:p>
    <w:p>
      <w:pPr>
        <w:keepNext w:val="0"/>
        <w:keepLines w:val="0"/>
        <w:pageBreakBefore w:val="0"/>
        <w:widowControl w:val="0"/>
        <w:kinsoku/>
        <w:wordWrap/>
        <w:overflowPunct/>
        <w:topLinePunct w:val="0"/>
        <w:autoSpaceDE/>
        <w:autoSpaceDN/>
        <w:bidi w:val="0"/>
        <w:adjustRightInd w:val="0"/>
        <w:snapToGrid w:val="0"/>
        <w:spacing w:beforeLines="0" w:afterLines="0" w:line="560" w:lineRule="exact"/>
        <w:ind w:firstLine="640" w:firstLineChars="200"/>
        <w:textAlignment w:val="auto"/>
        <w:rPr>
          <w:rFonts w:hint="eastAsia" w:ascii="仿宋_GB2312" w:hAnsi="仿宋_GB2312" w:eastAsia="仿宋_GB2312" w:cs="仿宋_GB2312"/>
          <w:color w:val="000000"/>
          <w:sz w:val="32"/>
          <w:szCs w:val="32"/>
          <w:lang w:val="en-US" w:eastAsia="zh-CN"/>
        </w:rPr>
      </w:pPr>
      <w:r>
        <w:rPr>
          <w:rFonts w:hint="eastAsia" w:ascii="仿宋_GB2312" w:hAnsi="仿宋_GB2312" w:eastAsia="仿宋_GB2312" w:cs="仿宋_GB2312"/>
          <w:color w:val="000000"/>
          <w:sz w:val="32"/>
          <w:szCs w:val="32"/>
          <w:lang w:val="en-US" w:eastAsia="zh-CN"/>
        </w:rPr>
        <w:t>公示期间，单位和个人有异议的，红色文化遗存管理部门等有关单位应当组织专家对异议情况进行核查，认为异议不成立的，自收到异议之日起二十日内以书面形式告知异议人，并说明理由；认为异议成立的，不予申请。</w:t>
      </w:r>
    </w:p>
    <w:p>
      <w:pPr>
        <w:keepNext w:val="0"/>
        <w:keepLines w:val="0"/>
        <w:pageBreakBefore w:val="0"/>
        <w:widowControl w:val="0"/>
        <w:kinsoku/>
        <w:wordWrap/>
        <w:overflowPunct/>
        <w:topLinePunct w:val="0"/>
        <w:autoSpaceDE/>
        <w:autoSpaceDN/>
        <w:bidi w:val="0"/>
        <w:adjustRightInd w:val="0"/>
        <w:snapToGrid w:val="0"/>
        <w:spacing w:beforeLines="0" w:afterLines="0" w:line="560" w:lineRule="exact"/>
        <w:ind w:firstLine="640" w:firstLineChars="200"/>
        <w:textAlignment w:val="auto"/>
        <w:rPr>
          <w:rFonts w:hint="eastAsia" w:ascii="仿宋_GB2312" w:hAnsi="仿宋_GB2312" w:eastAsia="仿宋_GB2312" w:cs="仿宋_GB2312"/>
          <w:color w:val="000000"/>
          <w:sz w:val="32"/>
          <w:szCs w:val="32"/>
          <w:lang w:val="en-US" w:eastAsia="zh-CN"/>
        </w:rPr>
      </w:pPr>
      <w:r>
        <w:rPr>
          <w:rFonts w:hint="eastAsia" w:ascii="仿宋_GB2312" w:hAnsi="仿宋_GB2312" w:eastAsia="仿宋_GB2312" w:cs="仿宋_GB2312"/>
          <w:color w:val="000000"/>
          <w:sz w:val="32"/>
          <w:szCs w:val="32"/>
        </w:rPr>
        <w:t>公示期满，县级人民政府应当按照本条例第十条规定向相应的红色文化遗存管</w:t>
      </w:r>
      <w:r>
        <w:rPr>
          <w:rFonts w:hint="eastAsia" w:ascii="仿宋_GB2312" w:hAnsi="仿宋_GB2312" w:eastAsia="仿宋_GB2312" w:cs="仿宋_GB2312"/>
          <w:color w:val="000000"/>
          <w:sz w:val="32"/>
          <w:szCs w:val="32"/>
          <w:lang w:eastAsia="zh-CN"/>
        </w:rPr>
        <w:t>理</w:t>
      </w:r>
      <w:r>
        <w:rPr>
          <w:rFonts w:hint="eastAsia" w:ascii="仿宋_GB2312" w:hAnsi="仿宋_GB2312" w:eastAsia="仿宋_GB2312" w:cs="仿宋_GB2312"/>
          <w:color w:val="000000"/>
          <w:sz w:val="32"/>
          <w:szCs w:val="32"/>
        </w:rPr>
        <w:t>部门申请认定。</w:t>
      </w:r>
    </w:p>
    <w:p>
      <w:pPr>
        <w:keepNext w:val="0"/>
        <w:keepLines w:val="0"/>
        <w:pageBreakBefore w:val="0"/>
        <w:widowControl w:val="0"/>
        <w:kinsoku/>
        <w:wordWrap/>
        <w:overflowPunct/>
        <w:topLinePunct w:val="0"/>
        <w:autoSpaceDE/>
        <w:autoSpaceDN/>
        <w:bidi w:val="0"/>
        <w:adjustRightInd w:val="0"/>
        <w:snapToGrid w:val="0"/>
        <w:spacing w:beforeLines="0" w:afterLines="0" w:line="560" w:lineRule="exact"/>
        <w:ind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auto"/>
          <w:sz w:val="32"/>
          <w:szCs w:val="32"/>
          <w:shd w:val="clear" w:color="auto" w:fill="auto"/>
        </w:rPr>
        <w:t>第十</w:t>
      </w:r>
      <w:r>
        <w:rPr>
          <w:rFonts w:hint="eastAsia" w:ascii="黑体" w:hAnsi="黑体" w:eastAsia="黑体" w:cs="黑体"/>
          <w:kern w:val="0"/>
          <w:sz w:val="32"/>
          <w:szCs w:val="32"/>
          <w:lang w:val="en-US" w:eastAsia="zh-CN"/>
        </w:rPr>
        <w:t>二</w:t>
      </w:r>
      <w:r>
        <w:rPr>
          <w:rFonts w:hint="eastAsia" w:ascii="黑体" w:hAnsi="黑体" w:eastAsia="黑体" w:cs="黑体"/>
          <w:color w:val="auto"/>
          <w:sz w:val="32"/>
          <w:szCs w:val="32"/>
          <w:shd w:val="clear" w:color="auto" w:fill="auto"/>
        </w:rPr>
        <w:t>条</w:t>
      </w:r>
      <w:r>
        <w:rPr>
          <w:rFonts w:hint="eastAsia" w:ascii="黑体" w:hAnsi="黑体" w:eastAsia="黑体" w:cs="黑体"/>
          <w:b/>
          <w:bCs/>
          <w:color w:val="auto"/>
          <w:sz w:val="32"/>
          <w:szCs w:val="32"/>
          <w:shd w:val="clear" w:color="auto" w:fill="auto"/>
        </w:rPr>
        <w:t>　</w:t>
      </w:r>
      <w:r>
        <w:rPr>
          <w:rFonts w:hint="eastAsia" w:ascii="仿宋_GB2312" w:hAnsi="仿宋_GB2312" w:eastAsia="仿宋_GB2312" w:cs="仿宋_GB2312"/>
          <w:color w:val="auto"/>
          <w:sz w:val="32"/>
          <w:szCs w:val="32"/>
          <w:shd w:val="clear" w:color="auto" w:fill="auto"/>
        </w:rPr>
        <w:t>申请红色文化遗存认定应当提交下列</w:t>
      </w:r>
      <w:r>
        <w:rPr>
          <w:rFonts w:hint="eastAsia" w:ascii="仿宋_GB2312" w:hAnsi="仿宋_GB2312" w:eastAsia="仿宋_GB2312" w:cs="仿宋_GB2312"/>
          <w:color w:val="000000"/>
          <w:sz w:val="32"/>
          <w:szCs w:val="32"/>
        </w:rPr>
        <w:t>材料：</w:t>
      </w:r>
    </w:p>
    <w:p>
      <w:pPr>
        <w:keepNext w:val="0"/>
        <w:keepLines w:val="0"/>
        <w:pageBreakBefore w:val="0"/>
        <w:widowControl w:val="0"/>
        <w:kinsoku/>
        <w:wordWrap/>
        <w:overflowPunct/>
        <w:topLinePunct w:val="0"/>
        <w:autoSpaceDE/>
        <w:autoSpaceDN/>
        <w:bidi w:val="0"/>
        <w:adjustRightInd w:val="0"/>
        <w:snapToGrid w:val="0"/>
        <w:spacing w:beforeLines="0" w:afterLines="0" w:line="560" w:lineRule="exact"/>
        <w:ind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（一）申请报告</w:t>
      </w: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color w:val="000000"/>
          <w:sz w:val="32"/>
          <w:szCs w:val="32"/>
          <w:lang w:val="en-US" w:eastAsia="zh-CN"/>
        </w:rPr>
        <w:t>包括</w:t>
      </w:r>
      <w:r>
        <w:rPr>
          <w:rFonts w:hint="eastAsia" w:ascii="仿宋_GB2312" w:hAnsi="仿宋_GB2312" w:eastAsia="仿宋_GB2312" w:cs="仿宋_GB2312"/>
          <w:color w:val="000000"/>
          <w:sz w:val="32"/>
          <w:szCs w:val="32"/>
        </w:rPr>
        <w:t>名称、类型</w:t>
      </w:r>
      <w:r>
        <w:rPr>
          <w:rFonts w:hint="eastAsia" w:ascii="仿宋_GB2312" w:hAnsi="仿宋_GB2312" w:eastAsia="仿宋_GB2312" w:cs="仿宋_GB2312"/>
          <w:color w:val="000000"/>
          <w:sz w:val="32"/>
          <w:szCs w:val="32"/>
          <w:lang w:val="en-US" w:eastAsia="zh-CN"/>
        </w:rPr>
        <w:t>、</w:t>
      </w:r>
      <w:r>
        <w:rPr>
          <w:rFonts w:hint="eastAsia" w:ascii="仿宋_GB2312" w:hAnsi="仿宋_GB2312" w:eastAsia="仿宋_GB2312" w:cs="仿宋_GB2312"/>
          <w:color w:val="000000"/>
          <w:sz w:val="32"/>
          <w:szCs w:val="32"/>
        </w:rPr>
        <w:t>详细地点或者来源</w:t>
      </w:r>
      <w:r>
        <w:rPr>
          <w:rFonts w:hint="eastAsia" w:ascii="仿宋_GB2312" w:hAnsi="仿宋_GB2312" w:eastAsia="仿宋_GB2312" w:cs="仿宋_GB2312"/>
          <w:color w:val="000000"/>
          <w:sz w:val="32"/>
          <w:szCs w:val="32"/>
          <w:lang w:val="en-US" w:eastAsia="zh-CN"/>
        </w:rPr>
        <w:t>、保护责任人</w:t>
      </w:r>
      <w:r>
        <w:rPr>
          <w:rFonts w:hint="eastAsia" w:ascii="仿宋_GB2312" w:hAnsi="仿宋_GB2312" w:eastAsia="仿宋_GB2312" w:cs="仿宋_GB2312"/>
          <w:color w:val="000000"/>
          <w:sz w:val="32"/>
          <w:szCs w:val="32"/>
        </w:rPr>
        <w:t>；</w:t>
      </w:r>
    </w:p>
    <w:p>
      <w:pPr>
        <w:keepNext w:val="0"/>
        <w:keepLines w:val="0"/>
        <w:pageBreakBefore w:val="0"/>
        <w:widowControl w:val="0"/>
        <w:kinsoku/>
        <w:wordWrap/>
        <w:overflowPunct/>
        <w:topLinePunct w:val="0"/>
        <w:autoSpaceDE/>
        <w:autoSpaceDN/>
        <w:bidi w:val="0"/>
        <w:adjustRightInd w:val="0"/>
        <w:snapToGrid w:val="0"/>
        <w:spacing w:beforeLines="0" w:afterLines="0" w:line="560" w:lineRule="exact"/>
        <w:ind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lang w:val="en-US" w:eastAsia="zh-CN"/>
        </w:rPr>
        <w:t>（二）</w:t>
      </w:r>
      <w:r>
        <w:rPr>
          <w:rFonts w:hint="eastAsia" w:ascii="仿宋_GB2312" w:hAnsi="仿宋_GB2312" w:eastAsia="仿宋_GB2312" w:cs="仿宋_GB2312"/>
          <w:color w:val="000000"/>
          <w:sz w:val="32"/>
          <w:szCs w:val="32"/>
        </w:rPr>
        <w:t>所有</w:t>
      </w:r>
      <w:r>
        <w:rPr>
          <w:rFonts w:hint="eastAsia" w:ascii="仿宋_GB2312" w:hAnsi="仿宋_GB2312" w:eastAsia="仿宋_GB2312" w:cs="仿宋_GB2312"/>
          <w:color w:val="000000"/>
          <w:sz w:val="32"/>
          <w:szCs w:val="32"/>
          <w:lang w:eastAsia="zh-CN"/>
        </w:rPr>
        <w:t>权</w:t>
      </w:r>
      <w:r>
        <w:rPr>
          <w:rFonts w:hint="eastAsia" w:ascii="仿宋_GB2312" w:hAnsi="仿宋_GB2312" w:eastAsia="仿宋_GB2312" w:cs="仿宋_GB2312"/>
          <w:color w:val="000000"/>
          <w:sz w:val="32"/>
          <w:szCs w:val="32"/>
        </w:rPr>
        <w:t xml:space="preserve">人同意申报的材料； </w:t>
      </w:r>
    </w:p>
    <w:p>
      <w:pPr>
        <w:keepNext w:val="0"/>
        <w:keepLines w:val="0"/>
        <w:pageBreakBefore w:val="0"/>
        <w:widowControl w:val="0"/>
        <w:kinsoku/>
        <w:wordWrap/>
        <w:overflowPunct/>
        <w:topLinePunct w:val="0"/>
        <w:autoSpaceDE/>
        <w:autoSpaceDN/>
        <w:bidi w:val="0"/>
        <w:adjustRightInd w:val="0"/>
        <w:snapToGrid w:val="0"/>
        <w:spacing w:beforeLines="0" w:afterLines="0" w:line="560" w:lineRule="exact"/>
        <w:ind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lang w:val="en-US" w:eastAsia="zh-CN"/>
        </w:rPr>
        <w:t>（三）</w:t>
      </w:r>
      <w:r>
        <w:rPr>
          <w:rFonts w:hint="eastAsia" w:ascii="仿宋_GB2312" w:hAnsi="仿宋_GB2312" w:eastAsia="仿宋_GB2312" w:cs="仿宋_GB2312"/>
          <w:color w:val="000000"/>
          <w:sz w:val="32"/>
          <w:szCs w:val="32"/>
        </w:rPr>
        <w:t>其他需要提交的材料。</w:t>
      </w:r>
    </w:p>
    <w:p>
      <w:pPr>
        <w:keepNext w:val="0"/>
        <w:keepLines w:val="0"/>
        <w:pageBreakBefore w:val="0"/>
        <w:widowControl w:val="0"/>
        <w:kinsoku/>
        <w:wordWrap/>
        <w:overflowPunct/>
        <w:topLinePunct w:val="0"/>
        <w:autoSpaceDE/>
        <w:autoSpaceDN/>
        <w:bidi w:val="0"/>
        <w:adjustRightInd w:val="0"/>
        <w:snapToGrid w:val="0"/>
        <w:spacing w:beforeLines="0" w:afterLines="0" w:line="560" w:lineRule="exact"/>
        <w:ind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前款第</w:t>
      </w:r>
      <w:r>
        <w:rPr>
          <w:rFonts w:hint="eastAsia" w:ascii="仿宋_GB2312" w:hAnsi="仿宋_GB2312" w:eastAsia="仿宋_GB2312" w:cs="仿宋_GB2312"/>
          <w:color w:val="000000"/>
          <w:sz w:val="32"/>
          <w:szCs w:val="32"/>
          <w:lang w:val="en-US" w:eastAsia="zh-CN"/>
        </w:rPr>
        <w:t>二</w:t>
      </w:r>
      <w:r>
        <w:rPr>
          <w:rFonts w:hint="eastAsia" w:ascii="仿宋_GB2312" w:hAnsi="仿宋_GB2312" w:eastAsia="仿宋_GB2312" w:cs="仿宋_GB2312"/>
          <w:color w:val="000000"/>
          <w:sz w:val="32"/>
          <w:szCs w:val="32"/>
        </w:rPr>
        <w:t>项中所有</w:t>
      </w:r>
      <w:r>
        <w:rPr>
          <w:rFonts w:hint="eastAsia" w:ascii="仿宋_GB2312" w:hAnsi="仿宋_GB2312" w:eastAsia="仿宋_GB2312" w:cs="仿宋_GB2312"/>
          <w:color w:val="000000"/>
          <w:sz w:val="32"/>
          <w:szCs w:val="32"/>
          <w:lang w:val="en-US" w:eastAsia="zh-CN"/>
        </w:rPr>
        <w:t>权</w:t>
      </w:r>
      <w:r>
        <w:rPr>
          <w:rFonts w:hint="eastAsia" w:ascii="仿宋_GB2312" w:hAnsi="仿宋_GB2312" w:eastAsia="仿宋_GB2312" w:cs="仿宋_GB2312"/>
          <w:color w:val="000000"/>
          <w:sz w:val="32"/>
          <w:szCs w:val="32"/>
        </w:rPr>
        <w:t>人不明确的，由使用权人出具同意申报的材料。</w:t>
      </w:r>
    </w:p>
    <w:p>
      <w:pPr>
        <w:keepNext w:val="0"/>
        <w:keepLines w:val="0"/>
        <w:pageBreakBefore w:val="0"/>
        <w:widowControl w:val="0"/>
        <w:kinsoku/>
        <w:wordWrap/>
        <w:overflowPunct/>
        <w:topLinePunct w:val="0"/>
        <w:autoSpaceDE/>
        <w:autoSpaceDN/>
        <w:bidi w:val="0"/>
        <w:adjustRightInd w:val="0"/>
        <w:snapToGrid w:val="0"/>
        <w:spacing w:beforeLines="0" w:afterLines="0" w:line="560" w:lineRule="exact"/>
        <w:ind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sz w:val="32"/>
          <w:szCs w:val="32"/>
          <w:shd w:val="clear" w:color="auto" w:fill="auto"/>
        </w:rPr>
        <w:t>第十</w:t>
      </w:r>
      <w:r>
        <w:rPr>
          <w:rFonts w:hint="eastAsia" w:ascii="黑体" w:hAnsi="黑体" w:eastAsia="黑体" w:cs="黑体"/>
          <w:sz w:val="32"/>
          <w:szCs w:val="32"/>
          <w:shd w:val="clear" w:color="auto" w:fill="auto"/>
          <w:lang w:val="en-US" w:eastAsia="zh-CN"/>
        </w:rPr>
        <w:t>三</w:t>
      </w:r>
      <w:r>
        <w:rPr>
          <w:rFonts w:hint="eastAsia" w:ascii="黑体" w:hAnsi="黑体" w:eastAsia="黑体" w:cs="黑体"/>
          <w:sz w:val="32"/>
          <w:szCs w:val="32"/>
          <w:shd w:val="clear" w:color="auto" w:fill="auto"/>
        </w:rPr>
        <w:t>条</w:t>
      </w:r>
      <w:r>
        <w:rPr>
          <w:rFonts w:hint="eastAsia" w:ascii="仿宋_GB2312" w:hAnsi="仿宋_GB2312" w:eastAsia="仿宋_GB2312" w:cs="仿宋_GB2312"/>
          <w:b/>
          <w:bCs/>
          <w:sz w:val="32"/>
          <w:szCs w:val="32"/>
        </w:rPr>
        <w:t>　</w:t>
      </w:r>
      <w:r>
        <w:rPr>
          <w:rFonts w:hint="eastAsia" w:ascii="仿宋_GB2312" w:hAnsi="仿宋_GB2312" w:eastAsia="仿宋_GB2312" w:cs="仿宋_GB2312"/>
          <w:color w:val="000000"/>
          <w:sz w:val="32"/>
          <w:szCs w:val="32"/>
        </w:rPr>
        <w:t>省、设区的市人民政府红色文化遗存管</w:t>
      </w:r>
      <w:r>
        <w:rPr>
          <w:rFonts w:hint="eastAsia" w:ascii="仿宋_GB2312" w:hAnsi="仿宋_GB2312" w:eastAsia="仿宋_GB2312" w:cs="仿宋_GB2312"/>
          <w:color w:val="000000"/>
          <w:sz w:val="32"/>
          <w:szCs w:val="32"/>
          <w:lang w:eastAsia="zh-CN"/>
        </w:rPr>
        <w:t>理</w:t>
      </w:r>
      <w:r>
        <w:rPr>
          <w:rFonts w:hint="eastAsia" w:ascii="仿宋_GB2312" w:hAnsi="仿宋_GB2312" w:eastAsia="仿宋_GB2312" w:cs="仿宋_GB2312"/>
          <w:color w:val="000000"/>
          <w:sz w:val="32"/>
          <w:szCs w:val="32"/>
        </w:rPr>
        <w:t>部门收到认定申请后</w:t>
      </w:r>
      <w:r>
        <w:rPr>
          <w:rFonts w:hint="eastAsia" w:ascii="仿宋_GB2312" w:hAnsi="仿宋_GB2312" w:eastAsia="仿宋_GB2312" w:cs="仿宋_GB2312"/>
          <w:color w:val="000000"/>
          <w:sz w:val="32"/>
          <w:szCs w:val="32"/>
          <w:lang w:val="en-US" w:eastAsia="zh-CN"/>
        </w:rPr>
        <w:t>进行</w:t>
      </w:r>
      <w:r>
        <w:rPr>
          <w:rFonts w:hint="eastAsia" w:ascii="仿宋_GB2312" w:hAnsi="仿宋_GB2312" w:eastAsia="仿宋_GB2312" w:cs="仿宋_GB2312"/>
          <w:color w:val="000000"/>
          <w:sz w:val="32"/>
          <w:szCs w:val="32"/>
        </w:rPr>
        <w:t>审核，对不符合要求的，应当要求申请人补正；对符合要求的，组织专家进行评审，评审通过的，认定为红色文化遗存，并向社会公布。</w:t>
      </w:r>
    </w:p>
    <w:p>
      <w:pPr>
        <w:keepNext w:val="0"/>
        <w:keepLines w:val="0"/>
        <w:pageBreakBefore w:val="0"/>
        <w:widowControl w:val="0"/>
        <w:kinsoku/>
        <w:wordWrap/>
        <w:overflowPunct/>
        <w:topLinePunct w:val="0"/>
        <w:autoSpaceDE/>
        <w:autoSpaceDN/>
        <w:bidi w:val="0"/>
        <w:adjustRightInd w:val="0"/>
        <w:snapToGrid w:val="0"/>
        <w:spacing w:beforeLines="0" w:afterLines="0" w:line="560" w:lineRule="exact"/>
        <w:ind w:firstLine="640" w:firstLineChars="200"/>
        <w:textAlignment w:val="auto"/>
        <w:rPr>
          <w:rFonts w:ascii="仿宋_GB2312" w:hAnsi="仿宋_GB2312" w:eastAsia="仿宋_GB2312" w:cs="仿宋_GB2312"/>
          <w:color w:val="auto"/>
          <w:sz w:val="32"/>
          <w:szCs w:val="32"/>
        </w:rPr>
      </w:pPr>
      <w:r>
        <w:rPr>
          <w:rFonts w:hint="eastAsia" w:ascii="黑体" w:hAnsi="黑体" w:eastAsia="黑体" w:cs="黑体"/>
          <w:bCs/>
          <w:color w:val="000000"/>
          <w:sz w:val="32"/>
          <w:szCs w:val="32"/>
          <w:shd w:val="clear" w:color="auto" w:fill="auto"/>
        </w:rPr>
        <w:t>第十</w:t>
      </w:r>
      <w:r>
        <w:rPr>
          <w:rFonts w:hint="eastAsia" w:ascii="黑体" w:hAnsi="黑体" w:eastAsia="黑体" w:cs="黑体"/>
          <w:bCs/>
          <w:color w:val="000000"/>
          <w:sz w:val="32"/>
          <w:szCs w:val="32"/>
          <w:shd w:val="clear" w:color="auto" w:fill="auto"/>
          <w:lang w:val="en-US" w:eastAsia="zh-CN"/>
        </w:rPr>
        <w:t>四</w:t>
      </w:r>
      <w:r>
        <w:rPr>
          <w:rFonts w:hint="eastAsia" w:ascii="黑体" w:hAnsi="黑体" w:eastAsia="黑体" w:cs="黑体"/>
          <w:bCs/>
          <w:color w:val="000000"/>
          <w:sz w:val="32"/>
          <w:szCs w:val="32"/>
          <w:shd w:val="clear" w:color="auto" w:fill="auto"/>
        </w:rPr>
        <w:t>条</w:t>
      </w:r>
      <w:r>
        <w:rPr>
          <w:rFonts w:ascii="黑体" w:hAnsi="黑体" w:eastAsia="黑体" w:cs="黑体"/>
          <w:bCs/>
          <w:color w:val="000000"/>
          <w:sz w:val="32"/>
          <w:szCs w:val="32"/>
        </w:rPr>
        <w:t xml:space="preserve">  </w:t>
      </w:r>
      <w:r>
        <w:rPr>
          <w:rFonts w:hint="eastAsia" w:ascii="仿宋_GB2312" w:hAnsi="仿宋_GB2312" w:eastAsia="仿宋_GB2312" w:cs="仿宋_GB2312"/>
          <w:color w:val="000000"/>
          <w:sz w:val="32"/>
          <w:szCs w:val="32"/>
        </w:rPr>
        <w:t>县级人民政府建立红色文化遗存名录，并向社</w:t>
      </w:r>
      <w:r>
        <w:rPr>
          <w:rFonts w:hint="eastAsia" w:ascii="仿宋_GB2312" w:hAnsi="仿宋_GB2312" w:eastAsia="仿宋_GB2312" w:cs="仿宋_GB2312"/>
          <w:color w:val="auto"/>
          <w:sz w:val="32"/>
          <w:szCs w:val="32"/>
        </w:rPr>
        <w:t>会公布。</w:t>
      </w:r>
    </w:p>
    <w:p>
      <w:pPr>
        <w:keepNext w:val="0"/>
        <w:keepLines w:val="0"/>
        <w:pageBreakBefore w:val="0"/>
        <w:widowControl w:val="0"/>
        <w:kinsoku/>
        <w:wordWrap/>
        <w:overflowPunct/>
        <w:topLinePunct w:val="0"/>
        <w:autoSpaceDE/>
        <w:autoSpaceDN/>
        <w:bidi w:val="0"/>
        <w:adjustRightInd w:val="0"/>
        <w:snapToGrid w:val="0"/>
        <w:spacing w:beforeLines="0" w:afterLines="0" w:line="560" w:lineRule="exact"/>
        <w:ind w:firstLine="640" w:firstLineChars="200"/>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红色文化遗存名录实行动态调整</w:t>
      </w:r>
      <w:r>
        <w:rPr>
          <w:rFonts w:hint="eastAsia" w:ascii="仿宋_GB2312" w:hAnsi="仿宋_GB2312" w:eastAsia="仿宋_GB2312" w:cs="仿宋_GB2312"/>
          <w:color w:val="000000"/>
          <w:sz w:val="32"/>
          <w:szCs w:val="32"/>
        </w:rPr>
        <w:t>。对已列入名录的红色文化遗存，严重损毁或者灭失的，经原认定部门</w:t>
      </w:r>
      <w:r>
        <w:rPr>
          <w:rFonts w:hint="eastAsia" w:ascii="仿宋_GB2312" w:hAnsi="仿宋_GB2312" w:eastAsia="仿宋_GB2312" w:cs="仿宋_GB2312"/>
          <w:color w:val="000000"/>
          <w:sz w:val="32"/>
          <w:szCs w:val="32"/>
          <w:lang w:val="en-US" w:eastAsia="zh-CN"/>
        </w:rPr>
        <w:t>同意</w:t>
      </w:r>
      <w:r>
        <w:rPr>
          <w:rFonts w:hint="eastAsia" w:ascii="仿宋_GB2312" w:hAnsi="仿宋_GB2312" w:eastAsia="仿宋_GB2312" w:cs="仿宋_GB2312"/>
          <w:color w:val="000000"/>
          <w:sz w:val="32"/>
          <w:szCs w:val="32"/>
        </w:rPr>
        <w:t>后，</w:t>
      </w:r>
      <w:r>
        <w:rPr>
          <w:rFonts w:hint="eastAsia" w:ascii="仿宋_GB2312" w:hAnsi="仿宋_GB2312" w:eastAsia="仿宋_GB2312" w:cs="仿宋_GB2312"/>
          <w:color w:val="auto"/>
          <w:sz w:val="32"/>
          <w:szCs w:val="32"/>
        </w:rPr>
        <w:t>由县级人民政府对名录进行调整并适时公布。</w:t>
      </w:r>
    </w:p>
    <w:p>
      <w:pPr>
        <w:keepNext w:val="0"/>
        <w:keepLines w:val="0"/>
        <w:pageBreakBefore w:val="0"/>
        <w:widowControl w:val="0"/>
        <w:kinsoku/>
        <w:wordWrap/>
        <w:overflowPunct/>
        <w:topLinePunct w:val="0"/>
        <w:autoSpaceDE/>
        <w:autoSpaceDN/>
        <w:bidi w:val="0"/>
        <w:adjustRightInd w:val="0"/>
        <w:snapToGrid w:val="0"/>
        <w:spacing w:beforeLines="0" w:afterLines="0" w:line="560" w:lineRule="exact"/>
        <w:ind w:firstLine="640" w:firstLineChars="200"/>
        <w:rPr>
          <w:rFonts w:ascii="仿宋_GB2312" w:hAnsi="仿宋_GB2312" w:eastAsia="仿宋_GB2312" w:cs="仿宋_GB2312"/>
          <w:color w:val="000000"/>
          <w:spacing w:val="-6"/>
          <w:sz w:val="32"/>
          <w:szCs w:val="32"/>
        </w:rPr>
      </w:pPr>
      <w:r>
        <w:rPr>
          <w:rFonts w:hint="eastAsia" w:ascii="黑体" w:hAnsi="黑体" w:eastAsia="黑体" w:cs="黑体"/>
          <w:bCs/>
          <w:color w:val="000000"/>
          <w:sz w:val="32"/>
          <w:szCs w:val="32"/>
          <w:shd w:val="clear" w:color="auto" w:fill="auto"/>
        </w:rPr>
        <w:t>第十</w:t>
      </w:r>
      <w:r>
        <w:rPr>
          <w:rFonts w:hint="eastAsia" w:ascii="黑体" w:hAnsi="黑体" w:eastAsia="黑体" w:cs="黑体"/>
          <w:bCs/>
          <w:color w:val="000000"/>
          <w:sz w:val="32"/>
          <w:szCs w:val="32"/>
          <w:shd w:val="clear" w:color="auto" w:fill="auto"/>
          <w:lang w:val="en-US" w:eastAsia="zh-CN"/>
        </w:rPr>
        <w:t>五</w:t>
      </w:r>
      <w:r>
        <w:rPr>
          <w:rFonts w:hint="eastAsia" w:ascii="黑体" w:hAnsi="黑体" w:eastAsia="黑体" w:cs="黑体"/>
          <w:bCs/>
          <w:color w:val="000000"/>
          <w:sz w:val="32"/>
          <w:szCs w:val="32"/>
          <w:shd w:val="clear" w:color="auto" w:fill="auto"/>
        </w:rPr>
        <w:t>条</w:t>
      </w:r>
      <w:r>
        <w:rPr>
          <w:rFonts w:hint="eastAsia" w:ascii="黑体" w:hAnsi="黑体" w:eastAsia="黑体" w:cs="黑体"/>
          <w:bCs/>
          <w:color w:val="000000"/>
          <w:sz w:val="32"/>
          <w:szCs w:val="32"/>
          <w:shd w:val="clear" w:color="auto" w:fill="auto"/>
          <w:lang w:val="en-US" w:eastAsia="zh-CN"/>
        </w:rPr>
        <w:t xml:space="preserve">  </w:t>
      </w:r>
      <w:r>
        <w:rPr>
          <w:rFonts w:hint="eastAsia" w:ascii="仿宋_GB2312" w:hAnsi="仿宋_GB2312" w:eastAsia="仿宋_GB2312" w:cs="仿宋_GB2312"/>
          <w:color w:val="000000"/>
          <w:spacing w:val="-6"/>
          <w:sz w:val="32"/>
          <w:szCs w:val="32"/>
        </w:rPr>
        <w:t>县级人民政府退役军人事务部门负责设置烈士纪念设施的保护标志；县级人民政府民政部门负责设置除烈士纪念设施以外未列入革命文物的不可移动红色文化遗存的保护标志。</w:t>
      </w:r>
    </w:p>
    <w:p>
      <w:pPr>
        <w:keepNext w:val="0"/>
        <w:keepLines w:val="0"/>
        <w:pageBreakBefore w:val="0"/>
        <w:widowControl w:val="0"/>
        <w:kinsoku/>
        <w:wordWrap/>
        <w:overflowPunct/>
        <w:topLinePunct w:val="0"/>
        <w:autoSpaceDE/>
        <w:autoSpaceDN/>
        <w:bidi w:val="0"/>
        <w:adjustRightInd w:val="0"/>
        <w:snapToGrid w:val="0"/>
        <w:spacing w:beforeLines="0" w:afterLines="0" w:line="560" w:lineRule="exact"/>
        <w:ind w:firstLine="640" w:firstLineChars="200"/>
        <w:textAlignment w:val="auto"/>
        <w:rPr>
          <w:rFonts w:hint="eastAsia" w:ascii="黑体" w:hAnsi="黑体" w:eastAsia="黑体" w:cs="黑体"/>
          <w:color w:val="auto"/>
          <w:sz w:val="32"/>
          <w:szCs w:val="32"/>
          <w:lang w:val="en-US" w:eastAsia="zh-CN"/>
        </w:rPr>
      </w:pPr>
      <w:r>
        <w:rPr>
          <w:rFonts w:hint="eastAsia" w:ascii="仿宋_GB2312" w:hAnsi="仿宋_GB2312" w:eastAsia="仿宋_GB2312" w:cs="仿宋_GB2312"/>
          <w:color w:val="000000"/>
          <w:sz w:val="32"/>
          <w:szCs w:val="32"/>
        </w:rPr>
        <w:t>保护标志内容包括名称、史实说明、认定机关、认定日期等。保护标志的样式由省人民政府民政、退役军人事务部门规定。</w:t>
      </w:r>
    </w:p>
    <w:p>
      <w:pPr>
        <w:keepNext w:val="0"/>
        <w:keepLines w:val="0"/>
        <w:pageBreakBefore w:val="0"/>
        <w:widowControl w:val="0"/>
        <w:numPr>
          <w:ilvl w:val="0"/>
          <w:numId w:val="1"/>
        </w:numPr>
        <w:kinsoku/>
        <w:wordWrap/>
        <w:overflowPunct/>
        <w:topLinePunct w:val="0"/>
        <w:autoSpaceDE/>
        <w:autoSpaceDN/>
        <w:bidi w:val="0"/>
        <w:adjustRightInd w:val="0"/>
        <w:snapToGrid w:val="0"/>
        <w:spacing w:before="157" w:beforeLines="50" w:after="157" w:afterLines="50" w:line="560" w:lineRule="exact"/>
        <w:ind w:left="0" w:leftChars="0" w:right="0" w:rightChars="0"/>
        <w:jc w:val="center"/>
        <w:textAlignment w:val="auto"/>
        <w:outlineLvl w:val="9"/>
        <w:rPr>
          <w:rFonts w:ascii="仿宋_GB2312" w:hAnsi="仿宋_GB2312" w:eastAsia="仿宋_GB2312" w:cs="仿宋_GB2312"/>
          <w:color w:val="000000"/>
          <w:sz w:val="32"/>
          <w:szCs w:val="32"/>
        </w:rPr>
      </w:pP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保护管理</w:t>
      </w:r>
    </w:p>
    <w:p>
      <w:pPr>
        <w:keepNext w:val="0"/>
        <w:keepLines w:val="0"/>
        <w:pageBreakBefore w:val="0"/>
        <w:widowControl w:val="0"/>
        <w:kinsoku/>
        <w:wordWrap/>
        <w:overflowPunct/>
        <w:topLinePunct w:val="0"/>
        <w:autoSpaceDE/>
        <w:autoSpaceDN/>
        <w:bidi w:val="0"/>
        <w:adjustRightInd w:val="0"/>
        <w:snapToGrid w:val="0"/>
        <w:spacing w:beforeLines="0" w:afterLines="0" w:line="560" w:lineRule="exact"/>
        <w:ind w:firstLine="640" w:firstLineChars="200"/>
        <w:jc w:val="both"/>
        <w:rPr>
          <w:rFonts w:hint="eastAsia" w:ascii="仿宋_GB2312" w:hAnsi="仿宋_GB2312" w:eastAsia="仿宋_GB2312" w:cs="仿宋_GB2312"/>
          <w:color w:val="000000"/>
          <w:sz w:val="32"/>
          <w:szCs w:val="32"/>
        </w:rPr>
      </w:pPr>
      <w:r>
        <w:rPr>
          <w:rFonts w:hint="eastAsia" w:ascii="黑体" w:hAnsi="黑体" w:eastAsia="黑体" w:cs="黑体"/>
          <w:bCs/>
          <w:color w:val="000000"/>
          <w:sz w:val="32"/>
          <w:szCs w:val="32"/>
        </w:rPr>
        <w:t>第十</w:t>
      </w:r>
      <w:r>
        <w:rPr>
          <w:rFonts w:hint="eastAsia" w:ascii="黑体" w:hAnsi="黑体" w:eastAsia="黑体" w:cs="黑体"/>
          <w:bCs/>
          <w:color w:val="000000"/>
          <w:sz w:val="32"/>
          <w:szCs w:val="32"/>
          <w:lang w:val="en-US" w:eastAsia="zh-CN"/>
        </w:rPr>
        <w:t>六</w:t>
      </w:r>
      <w:r>
        <w:rPr>
          <w:rFonts w:hint="eastAsia" w:ascii="黑体" w:hAnsi="黑体" w:eastAsia="黑体" w:cs="黑体"/>
          <w:bCs/>
          <w:color w:val="000000"/>
          <w:sz w:val="32"/>
          <w:szCs w:val="32"/>
        </w:rPr>
        <w:t>条</w:t>
      </w:r>
      <w:r>
        <w:rPr>
          <w:rFonts w:ascii="黑体" w:hAnsi="黑体" w:eastAsia="黑体" w:cs="黑体"/>
          <w:bCs/>
          <w:color w:val="000000"/>
          <w:sz w:val="32"/>
          <w:szCs w:val="32"/>
        </w:rPr>
        <w:t xml:space="preserve">  </w:t>
      </w:r>
      <w:r>
        <w:rPr>
          <w:rFonts w:hint="eastAsia" w:ascii="仿宋_GB2312" w:hAnsi="仿宋_GB2312" w:eastAsia="仿宋_GB2312" w:cs="仿宋_GB2312"/>
          <w:color w:val="000000"/>
          <w:sz w:val="32"/>
          <w:szCs w:val="32"/>
        </w:rPr>
        <w:t>县级以上地方人民政府应当组织有关部门编制不可移动红色文化遗存保护规划，并予以批准后实施。经批准的保护规划中涉及不可移动红色文化遗存保护范围等空间保护利用要求的，应当纳入国土空间规划。</w:t>
      </w:r>
    </w:p>
    <w:p>
      <w:pPr>
        <w:keepNext w:val="0"/>
        <w:keepLines w:val="0"/>
        <w:pageBreakBefore w:val="0"/>
        <w:widowControl w:val="0"/>
        <w:kinsoku/>
        <w:wordWrap/>
        <w:overflowPunct/>
        <w:topLinePunct w:val="0"/>
        <w:autoSpaceDE/>
        <w:autoSpaceDN/>
        <w:bidi w:val="0"/>
        <w:adjustRightInd w:val="0"/>
        <w:snapToGrid w:val="0"/>
        <w:spacing w:beforeLines="0" w:afterLines="0" w:line="560" w:lineRule="exact"/>
        <w:ind w:firstLine="640" w:firstLineChars="200"/>
        <w:jc w:val="both"/>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县级以上地方人民政府应当支持规划建设以不可移动红色文化遗存为核心内容的红色文化公园。</w:t>
      </w:r>
    </w:p>
    <w:p>
      <w:pPr>
        <w:keepNext w:val="0"/>
        <w:keepLines w:val="0"/>
        <w:pageBreakBefore w:val="0"/>
        <w:widowControl w:val="0"/>
        <w:shd w:val="clear" w:color="auto" w:fill="FFFFFF"/>
        <w:kinsoku/>
        <w:wordWrap/>
        <w:overflowPunct/>
        <w:topLinePunct w:val="0"/>
        <w:autoSpaceDE/>
        <w:autoSpaceDN/>
        <w:bidi w:val="0"/>
        <w:adjustRightInd w:val="0"/>
        <w:snapToGrid w:val="0"/>
        <w:spacing w:beforeLines="0" w:afterLines="0" w:line="560" w:lineRule="exact"/>
        <w:ind w:firstLine="640" w:firstLineChars="200"/>
        <w:jc w:val="both"/>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w:t>
      </w:r>
      <w:r>
        <w:rPr>
          <w:rFonts w:hint="eastAsia" w:ascii="黑体" w:hAnsi="黑体" w:eastAsia="黑体" w:cs="黑体"/>
          <w:color w:val="000000"/>
          <w:sz w:val="32"/>
          <w:szCs w:val="32"/>
          <w:lang w:val="en-US" w:eastAsia="zh-CN"/>
        </w:rPr>
        <w:t>七</w:t>
      </w:r>
      <w:r>
        <w:rPr>
          <w:rFonts w:hint="eastAsia" w:ascii="黑体" w:hAnsi="黑体" w:eastAsia="黑体" w:cs="黑体"/>
          <w:color w:val="000000"/>
          <w:sz w:val="32"/>
          <w:szCs w:val="32"/>
        </w:rPr>
        <w:t>条</w:t>
      </w:r>
      <w:r>
        <w:rPr>
          <w:rFonts w:ascii="黑体" w:hAnsi="黑体" w:eastAsia="黑体" w:cs="黑体"/>
          <w:color w:val="000000"/>
          <w:sz w:val="32"/>
          <w:szCs w:val="32"/>
        </w:rPr>
        <w:t xml:space="preserve">  </w:t>
      </w:r>
      <w:r>
        <w:rPr>
          <w:rFonts w:hint="eastAsia" w:ascii="仿宋_GB2312" w:hAnsi="仿宋_GB2312" w:eastAsia="仿宋_GB2312" w:cs="仿宋_GB2312"/>
          <w:color w:val="000000"/>
          <w:sz w:val="32"/>
          <w:szCs w:val="32"/>
        </w:rPr>
        <w:t>不可移动红色文化遗存属于国有的，由使用权人承担保护责任；属于非国有的，由所有权人、使用权人承担保护责任。不可移动红色文化遗存的所有权人</w:t>
      </w:r>
      <w:r>
        <w:rPr>
          <w:rFonts w:hint="eastAsia" w:ascii="仿宋_GB2312" w:hAnsi="仿宋_GB2312" w:eastAsia="仿宋_GB2312" w:cs="仿宋_GB2312"/>
          <w:color w:val="000000"/>
          <w:spacing w:val="-6"/>
          <w:sz w:val="32"/>
          <w:szCs w:val="32"/>
        </w:rPr>
        <w:t>和使用权人不明确的，由所在地的县级人民政府指定保护责任人。</w:t>
      </w:r>
    </w:p>
    <w:p>
      <w:pPr>
        <w:keepNext w:val="0"/>
        <w:keepLines w:val="0"/>
        <w:pageBreakBefore w:val="0"/>
        <w:widowControl w:val="0"/>
        <w:kinsoku/>
        <w:wordWrap/>
        <w:overflowPunct/>
        <w:topLinePunct w:val="0"/>
        <w:autoSpaceDE/>
        <w:autoSpaceDN/>
        <w:bidi w:val="0"/>
        <w:adjustRightInd w:val="0"/>
        <w:snapToGrid w:val="0"/>
        <w:spacing w:beforeLines="0" w:afterLines="0" w:line="560" w:lineRule="exact"/>
        <w:ind w:firstLine="640" w:firstLineChars="200"/>
        <w:jc w:val="both"/>
        <w:rPr>
          <w:rFonts w:ascii="仿宋_GB2312" w:hAnsi="仿宋_GB2312" w:eastAsia="仿宋_GB2312" w:cs="仿宋_GB2312"/>
          <w:color w:val="000000"/>
          <w:sz w:val="32"/>
          <w:szCs w:val="32"/>
        </w:rPr>
      </w:pPr>
      <w:r>
        <w:rPr>
          <w:rFonts w:hint="eastAsia" w:ascii="黑体" w:hAnsi="黑体" w:eastAsia="黑体" w:cs="黑体"/>
          <w:bCs/>
          <w:color w:val="000000"/>
          <w:sz w:val="32"/>
          <w:szCs w:val="32"/>
        </w:rPr>
        <w:t>第</w:t>
      </w:r>
      <w:r>
        <w:rPr>
          <w:rFonts w:hint="eastAsia" w:ascii="黑体" w:hAnsi="黑体" w:eastAsia="黑体" w:cs="黑体"/>
          <w:bCs/>
          <w:color w:val="000000"/>
          <w:sz w:val="32"/>
          <w:szCs w:val="32"/>
          <w:lang w:val="en-US" w:eastAsia="zh-CN"/>
        </w:rPr>
        <w:t>十八</w:t>
      </w:r>
      <w:r>
        <w:rPr>
          <w:rFonts w:hint="eastAsia" w:ascii="黑体" w:hAnsi="黑体" w:eastAsia="黑体" w:cs="黑体"/>
          <w:bCs/>
          <w:color w:val="000000"/>
          <w:sz w:val="32"/>
          <w:szCs w:val="32"/>
        </w:rPr>
        <w:t>条</w:t>
      </w:r>
      <w:r>
        <w:rPr>
          <w:rFonts w:hint="eastAsia" w:ascii="仿宋_GB2312" w:hAnsi="仿宋_GB2312" w:eastAsia="仿宋_GB2312" w:cs="仿宋_GB2312"/>
          <w:color w:val="000000"/>
          <w:sz w:val="32"/>
          <w:szCs w:val="32"/>
        </w:rPr>
        <w:t>　县级人民政府</w:t>
      </w:r>
      <w:r>
        <w:rPr>
          <w:rFonts w:hint="eastAsia" w:ascii="仿宋_GB2312" w:hAnsi="仿宋_GB2312" w:eastAsia="仿宋_GB2312" w:cs="仿宋_GB2312"/>
          <w:color w:val="000000"/>
          <w:sz w:val="32"/>
          <w:szCs w:val="32"/>
          <w:shd w:val="clear" w:color="auto" w:fill="auto"/>
        </w:rPr>
        <w:t>文物、民政、退役军人事务</w:t>
      </w:r>
      <w:r>
        <w:rPr>
          <w:rFonts w:hint="eastAsia" w:ascii="仿宋_GB2312" w:hAnsi="仿宋_GB2312" w:eastAsia="仿宋_GB2312" w:cs="仿宋_GB2312"/>
          <w:color w:val="000000"/>
          <w:sz w:val="32"/>
          <w:szCs w:val="32"/>
        </w:rPr>
        <w:t>部门应当与所管辖的不可移动红色文化遗存的保护责任人签订遗存保护协议。协议应当载明红色文化遗存的保护措施、维护修缮和安全防范要求，以及保护责任人依法获得指导、帮助、资助、培训的权利等内容。</w:t>
      </w:r>
    </w:p>
    <w:p>
      <w:pPr>
        <w:keepNext w:val="0"/>
        <w:keepLines w:val="0"/>
        <w:pageBreakBefore w:val="0"/>
        <w:widowControl w:val="0"/>
        <w:kinsoku/>
        <w:wordWrap/>
        <w:overflowPunct/>
        <w:topLinePunct w:val="0"/>
        <w:autoSpaceDE/>
        <w:autoSpaceDN/>
        <w:bidi w:val="0"/>
        <w:adjustRightInd w:val="0"/>
        <w:snapToGrid w:val="0"/>
        <w:spacing w:beforeLines="0" w:afterLines="0" w:line="560" w:lineRule="exact"/>
        <w:ind w:firstLine="640" w:firstLineChars="200"/>
        <w:jc w:val="both"/>
        <w:rPr>
          <w:rFonts w:ascii="仿宋_GB2312" w:hAnsi="仿宋_GB2312" w:eastAsia="仿宋_GB2312" w:cs="仿宋_GB2312"/>
          <w:color w:val="000000"/>
          <w:sz w:val="32"/>
          <w:szCs w:val="32"/>
        </w:rPr>
      </w:pPr>
      <w:r>
        <w:rPr>
          <w:rFonts w:hint="eastAsia" w:ascii="黑体" w:hAnsi="黑体" w:eastAsia="黑体" w:cs="黑体"/>
          <w:color w:val="000000"/>
          <w:sz w:val="32"/>
          <w:szCs w:val="32"/>
        </w:rPr>
        <w:t>第</w:t>
      </w:r>
      <w:r>
        <w:rPr>
          <w:rFonts w:hint="eastAsia" w:ascii="黑体" w:hAnsi="黑体" w:eastAsia="黑体" w:cs="黑体"/>
          <w:color w:val="000000"/>
          <w:sz w:val="32"/>
          <w:szCs w:val="32"/>
          <w:lang w:val="en-US" w:eastAsia="zh-CN"/>
        </w:rPr>
        <w:t>十九</w:t>
      </w:r>
      <w:r>
        <w:rPr>
          <w:rFonts w:hint="eastAsia" w:ascii="黑体" w:hAnsi="黑体" w:eastAsia="黑体" w:cs="黑体"/>
          <w:color w:val="000000"/>
          <w:sz w:val="32"/>
          <w:szCs w:val="32"/>
        </w:rPr>
        <w:t>条</w:t>
      </w:r>
      <w:r>
        <w:rPr>
          <w:rFonts w:hint="eastAsia" w:ascii="仿宋_GB2312" w:hAnsi="仿宋_GB2312" w:eastAsia="仿宋_GB2312" w:cs="仿宋_GB2312"/>
          <w:color w:val="000000"/>
          <w:sz w:val="32"/>
          <w:szCs w:val="32"/>
        </w:rPr>
        <w:t>　不可移动红色文化遗存保护责任人应当履行下列职责：</w:t>
      </w:r>
    </w:p>
    <w:p>
      <w:pPr>
        <w:keepNext w:val="0"/>
        <w:keepLines w:val="0"/>
        <w:pageBreakBefore w:val="0"/>
        <w:widowControl w:val="0"/>
        <w:kinsoku/>
        <w:wordWrap/>
        <w:overflowPunct/>
        <w:topLinePunct w:val="0"/>
        <w:autoSpaceDE/>
        <w:autoSpaceDN/>
        <w:bidi w:val="0"/>
        <w:adjustRightInd w:val="0"/>
        <w:snapToGrid w:val="0"/>
        <w:spacing w:beforeLines="0" w:afterLines="0" w:line="560" w:lineRule="exact"/>
        <w:ind w:firstLine="640" w:firstLineChars="200"/>
        <w:jc w:val="both"/>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pacing w:val="0"/>
          <w:sz w:val="32"/>
          <w:szCs w:val="32"/>
        </w:rPr>
        <w:t>（一）进行日常保养、</w:t>
      </w:r>
      <w:r>
        <w:rPr>
          <w:rFonts w:hint="eastAsia" w:ascii="仿宋_GB2312" w:hAnsi="仿宋_GB2312" w:eastAsia="仿宋_GB2312" w:cs="仿宋_GB2312"/>
          <w:color w:val="000000"/>
          <w:sz w:val="32"/>
          <w:szCs w:val="32"/>
        </w:rPr>
        <w:t>维护</w:t>
      </w:r>
      <w:r>
        <w:rPr>
          <w:rFonts w:hint="eastAsia" w:ascii="仿宋_GB2312" w:hAnsi="仿宋_GB2312" w:eastAsia="仿宋_GB2312" w:cs="仿宋_GB2312"/>
          <w:color w:val="000000"/>
          <w:sz w:val="32"/>
          <w:szCs w:val="32"/>
          <w:lang w:val="en-US" w:eastAsia="zh-CN"/>
        </w:rPr>
        <w:t>和必要修缮</w:t>
      </w:r>
      <w:r>
        <w:rPr>
          <w:rFonts w:hint="eastAsia" w:ascii="仿宋_GB2312" w:hAnsi="仿宋_GB2312" w:eastAsia="仿宋_GB2312" w:cs="仿宋_GB2312"/>
          <w:color w:val="000000"/>
          <w:sz w:val="32"/>
          <w:szCs w:val="32"/>
        </w:rPr>
        <w:t>，保持遗存整洁；</w:t>
      </w:r>
    </w:p>
    <w:p>
      <w:pPr>
        <w:keepNext w:val="0"/>
        <w:keepLines w:val="0"/>
        <w:pageBreakBefore w:val="0"/>
        <w:widowControl w:val="0"/>
        <w:kinsoku/>
        <w:wordWrap/>
        <w:overflowPunct/>
        <w:topLinePunct w:val="0"/>
        <w:autoSpaceDE/>
        <w:autoSpaceDN/>
        <w:bidi w:val="0"/>
        <w:adjustRightInd w:val="0"/>
        <w:snapToGrid w:val="0"/>
        <w:spacing w:beforeLines="0" w:afterLines="0" w:line="560" w:lineRule="exact"/>
        <w:ind w:firstLine="640" w:firstLineChars="200"/>
        <w:jc w:val="both"/>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（二）落实防火、防盗、防自然灾害等安全措施，发现危害遗存安全的险情时，应当立即采取抢救措施并向红色文化遗存管</w:t>
      </w:r>
      <w:r>
        <w:rPr>
          <w:rFonts w:hint="eastAsia" w:ascii="仿宋_GB2312" w:hAnsi="仿宋_GB2312" w:eastAsia="仿宋_GB2312" w:cs="仿宋_GB2312"/>
          <w:color w:val="000000"/>
          <w:sz w:val="32"/>
          <w:szCs w:val="32"/>
          <w:lang w:val="en-US" w:eastAsia="zh-CN"/>
        </w:rPr>
        <w:t>理</w:t>
      </w:r>
      <w:r>
        <w:rPr>
          <w:rFonts w:hint="eastAsia" w:ascii="仿宋_GB2312" w:hAnsi="仿宋_GB2312" w:eastAsia="仿宋_GB2312" w:cs="仿宋_GB2312"/>
          <w:color w:val="000000"/>
          <w:sz w:val="32"/>
          <w:szCs w:val="32"/>
        </w:rPr>
        <w:t>部门报告；</w:t>
      </w:r>
    </w:p>
    <w:p>
      <w:pPr>
        <w:keepNext w:val="0"/>
        <w:keepLines w:val="0"/>
        <w:pageBreakBefore w:val="0"/>
        <w:widowControl w:val="0"/>
        <w:kinsoku/>
        <w:wordWrap/>
        <w:overflowPunct/>
        <w:topLinePunct w:val="0"/>
        <w:autoSpaceDE/>
        <w:autoSpaceDN/>
        <w:bidi w:val="0"/>
        <w:adjustRightInd w:val="0"/>
        <w:snapToGrid w:val="0"/>
        <w:spacing w:beforeLines="0" w:afterLines="0" w:line="560" w:lineRule="exact"/>
        <w:ind w:firstLine="640" w:firstLineChars="200"/>
        <w:jc w:val="both"/>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（三）保持遗存原状，不得损毁或者擅自改建、拆除不可移动红色文化遗存所依存的建筑物、构筑物以及其他设施；</w:t>
      </w:r>
    </w:p>
    <w:p>
      <w:pPr>
        <w:keepNext w:val="0"/>
        <w:keepLines w:val="0"/>
        <w:pageBreakBefore w:val="0"/>
        <w:widowControl w:val="0"/>
        <w:kinsoku/>
        <w:wordWrap/>
        <w:overflowPunct/>
        <w:topLinePunct w:val="0"/>
        <w:autoSpaceDE/>
        <w:autoSpaceDN/>
        <w:bidi w:val="0"/>
        <w:adjustRightInd w:val="0"/>
        <w:snapToGrid w:val="0"/>
        <w:spacing w:beforeLines="0" w:afterLines="0" w:line="560" w:lineRule="exact"/>
        <w:ind w:firstLine="640" w:firstLineChars="200"/>
        <w:jc w:val="both"/>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pacing w:val="0"/>
          <w:sz w:val="32"/>
          <w:szCs w:val="32"/>
        </w:rPr>
        <w:t>（四）配合有关部门对遗存</w:t>
      </w:r>
      <w:r>
        <w:rPr>
          <w:rFonts w:hint="eastAsia" w:ascii="仿宋_GB2312" w:hAnsi="仿宋_GB2312" w:eastAsia="仿宋_GB2312" w:cs="仿宋_GB2312"/>
          <w:color w:val="000000"/>
          <w:sz w:val="32"/>
          <w:szCs w:val="32"/>
        </w:rPr>
        <w:t>进行日常检查、宣传教育、保护利用；</w:t>
      </w:r>
    </w:p>
    <w:p>
      <w:pPr>
        <w:keepNext w:val="0"/>
        <w:keepLines w:val="0"/>
        <w:pageBreakBefore w:val="0"/>
        <w:widowControl w:val="0"/>
        <w:kinsoku/>
        <w:wordWrap/>
        <w:overflowPunct/>
        <w:topLinePunct w:val="0"/>
        <w:autoSpaceDE/>
        <w:autoSpaceDN/>
        <w:bidi w:val="0"/>
        <w:adjustRightInd w:val="0"/>
        <w:snapToGrid w:val="0"/>
        <w:spacing w:beforeLines="0" w:afterLines="0" w:line="560" w:lineRule="exact"/>
        <w:ind w:firstLine="640" w:firstLineChars="200"/>
        <w:jc w:val="both"/>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（五）法律、</w:t>
      </w:r>
      <w:r>
        <w:rPr>
          <w:rFonts w:hint="eastAsia" w:ascii="仿宋_GB2312" w:hAnsi="仿宋_GB2312" w:eastAsia="仿宋_GB2312" w:cs="仿宋_GB2312"/>
          <w:color w:val="000000"/>
          <w:sz w:val="32"/>
          <w:szCs w:val="32"/>
          <w:lang w:val="en-US" w:eastAsia="zh-CN"/>
        </w:rPr>
        <w:t>行政</w:t>
      </w:r>
      <w:r>
        <w:rPr>
          <w:rFonts w:hint="eastAsia" w:ascii="仿宋_GB2312" w:hAnsi="仿宋_GB2312" w:eastAsia="仿宋_GB2312" w:cs="仿宋_GB2312"/>
          <w:color w:val="000000"/>
          <w:sz w:val="32"/>
          <w:szCs w:val="32"/>
        </w:rPr>
        <w:t>法规规定的其他保护管理责任。</w:t>
      </w:r>
    </w:p>
    <w:p>
      <w:pPr>
        <w:keepNext w:val="0"/>
        <w:keepLines w:val="0"/>
        <w:pageBreakBefore w:val="0"/>
        <w:widowControl w:val="0"/>
        <w:kinsoku/>
        <w:wordWrap/>
        <w:overflowPunct/>
        <w:topLinePunct w:val="0"/>
        <w:autoSpaceDE/>
        <w:autoSpaceDN/>
        <w:bidi w:val="0"/>
        <w:adjustRightInd w:val="0"/>
        <w:snapToGrid w:val="0"/>
        <w:spacing w:beforeLines="0" w:afterLines="0" w:line="560" w:lineRule="exact"/>
        <w:ind w:firstLine="640" w:firstLineChars="200"/>
        <w:jc w:val="both"/>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lang w:val="en-US" w:eastAsia="zh-CN"/>
        </w:rPr>
        <w:t>保护责任人</w:t>
      </w:r>
      <w:r>
        <w:rPr>
          <w:rFonts w:hint="eastAsia" w:ascii="仿宋_GB2312" w:hAnsi="仿宋_GB2312" w:eastAsia="仿宋_GB2312" w:cs="仿宋_GB2312"/>
          <w:color w:val="000000"/>
          <w:sz w:val="32"/>
          <w:szCs w:val="32"/>
          <w:lang w:eastAsia="zh-CN"/>
        </w:rPr>
        <w:t>不具备保护能力的，所在地的县级人民政府应当采取措施予以保护。</w:t>
      </w:r>
    </w:p>
    <w:p>
      <w:pPr>
        <w:keepNext w:val="0"/>
        <w:keepLines w:val="0"/>
        <w:pageBreakBefore w:val="0"/>
        <w:widowControl w:val="0"/>
        <w:kinsoku/>
        <w:wordWrap/>
        <w:overflowPunct/>
        <w:topLinePunct w:val="0"/>
        <w:autoSpaceDE/>
        <w:autoSpaceDN/>
        <w:bidi w:val="0"/>
        <w:adjustRightInd w:val="0"/>
        <w:snapToGrid w:val="0"/>
        <w:spacing w:beforeLines="0" w:afterLines="0" w:line="560" w:lineRule="exact"/>
        <w:ind w:firstLine="640" w:firstLineChars="200"/>
        <w:jc w:val="both"/>
        <w:rPr>
          <w:rFonts w:hint="eastAsia" w:ascii="仿宋_GB2312" w:hAnsi="仿宋_GB2312" w:eastAsia="仿宋_GB2312" w:cs="仿宋_GB2312"/>
          <w:color w:val="000000"/>
          <w:sz w:val="32"/>
          <w:szCs w:val="32"/>
        </w:rPr>
      </w:pPr>
      <w:r>
        <w:rPr>
          <w:rFonts w:hint="eastAsia" w:ascii="黑体" w:hAnsi="黑体" w:eastAsia="黑体" w:cs="黑体"/>
          <w:bCs/>
          <w:color w:val="000000"/>
          <w:sz w:val="32"/>
          <w:szCs w:val="32"/>
        </w:rPr>
        <w:t>第二十条</w:t>
      </w:r>
      <w:r>
        <w:rPr>
          <w:rFonts w:hint="eastAsia" w:ascii="仿宋_GB2312" w:hAnsi="仿宋_GB2312" w:eastAsia="仿宋_GB2312" w:cs="仿宋_GB2312"/>
          <w:color w:val="000000"/>
          <w:sz w:val="32"/>
          <w:szCs w:val="32"/>
        </w:rPr>
        <w:t>　</w:t>
      </w:r>
      <w:r>
        <w:rPr>
          <w:rFonts w:hint="eastAsia" w:ascii="仿宋_GB2312" w:hAnsi="仿宋_GB2312" w:eastAsia="仿宋_GB2312" w:cs="仿宋_GB2312"/>
          <w:color w:val="000000"/>
          <w:sz w:val="32"/>
          <w:szCs w:val="32"/>
          <w:lang w:eastAsia="zh-CN"/>
        </w:rPr>
        <w:t>在不改变外观、</w:t>
      </w:r>
      <w:r>
        <w:rPr>
          <w:rFonts w:hint="eastAsia" w:ascii="仿宋_GB2312" w:hAnsi="仿宋_GB2312" w:eastAsia="仿宋_GB2312" w:cs="仿宋_GB2312"/>
          <w:color w:val="000000"/>
          <w:sz w:val="32"/>
          <w:szCs w:val="32"/>
        </w:rPr>
        <w:t>主体结构及其附属设施</w:t>
      </w:r>
      <w:r>
        <w:rPr>
          <w:rFonts w:hint="eastAsia" w:ascii="仿宋_GB2312" w:hAnsi="仿宋_GB2312" w:eastAsia="仿宋_GB2312" w:cs="仿宋_GB2312"/>
          <w:color w:val="000000"/>
          <w:sz w:val="32"/>
          <w:szCs w:val="32"/>
          <w:lang w:eastAsia="zh-CN"/>
        </w:rPr>
        <w:t>的前提下，不可移动红色文化遗存的所有权人或</w:t>
      </w:r>
      <w:r>
        <w:rPr>
          <w:rFonts w:hint="eastAsia" w:ascii="仿宋_GB2312" w:hAnsi="仿宋_GB2312" w:eastAsia="仿宋_GB2312" w:cs="仿宋_GB2312"/>
          <w:color w:val="000000"/>
          <w:sz w:val="32"/>
          <w:szCs w:val="32"/>
          <w:lang w:val="en-US" w:eastAsia="zh-CN"/>
        </w:rPr>
        <w:t>者</w:t>
      </w:r>
      <w:r>
        <w:rPr>
          <w:rFonts w:hint="eastAsia" w:ascii="仿宋_GB2312" w:hAnsi="仿宋_GB2312" w:eastAsia="仿宋_GB2312" w:cs="仿宋_GB2312"/>
          <w:color w:val="000000"/>
          <w:sz w:val="32"/>
          <w:szCs w:val="32"/>
          <w:lang w:eastAsia="zh-CN"/>
        </w:rPr>
        <w:t>使用</w:t>
      </w:r>
      <w:r>
        <w:rPr>
          <w:rFonts w:hint="eastAsia" w:ascii="仿宋_GB2312" w:hAnsi="仿宋_GB2312" w:eastAsia="仿宋_GB2312" w:cs="仿宋_GB2312"/>
          <w:color w:val="000000"/>
          <w:sz w:val="32"/>
          <w:szCs w:val="32"/>
          <w:lang w:val="en-US" w:eastAsia="zh-CN"/>
        </w:rPr>
        <w:t>权</w:t>
      </w:r>
      <w:r>
        <w:rPr>
          <w:rFonts w:hint="eastAsia" w:ascii="仿宋_GB2312" w:hAnsi="仿宋_GB2312" w:eastAsia="仿宋_GB2312" w:cs="仿宋_GB2312"/>
          <w:color w:val="000000"/>
          <w:sz w:val="32"/>
          <w:szCs w:val="32"/>
          <w:lang w:eastAsia="zh-CN"/>
        </w:rPr>
        <w:t>人可以进行</w:t>
      </w:r>
      <w:r>
        <w:rPr>
          <w:rFonts w:hint="eastAsia" w:ascii="仿宋_GB2312" w:hAnsi="仿宋_GB2312" w:eastAsia="仿宋_GB2312" w:cs="仿宋_GB2312"/>
          <w:color w:val="000000"/>
          <w:sz w:val="32"/>
          <w:szCs w:val="32"/>
          <w:lang w:val="en-US" w:eastAsia="zh-CN"/>
        </w:rPr>
        <w:t>局部</w:t>
      </w:r>
      <w:r>
        <w:rPr>
          <w:rFonts w:hint="eastAsia" w:ascii="仿宋_GB2312" w:hAnsi="仿宋_GB2312" w:eastAsia="仿宋_GB2312" w:cs="仿宋_GB2312"/>
          <w:color w:val="000000"/>
          <w:sz w:val="32"/>
          <w:szCs w:val="32"/>
          <w:lang w:eastAsia="zh-CN"/>
        </w:rPr>
        <w:t>修缮，</w:t>
      </w:r>
      <w:r>
        <w:rPr>
          <w:rFonts w:hint="eastAsia" w:ascii="仿宋_GB2312" w:hAnsi="仿宋_GB2312" w:eastAsia="仿宋_GB2312" w:cs="仿宋_GB2312"/>
          <w:color w:val="000000"/>
          <w:sz w:val="32"/>
          <w:szCs w:val="32"/>
          <w:lang w:val="en-US" w:eastAsia="zh-CN"/>
        </w:rPr>
        <w:t>不具备修缮能力的，可以向县级人民政府申请资助</w:t>
      </w:r>
      <w:r>
        <w:rPr>
          <w:rFonts w:hint="eastAsia" w:ascii="仿宋_GB2312" w:hAnsi="仿宋_GB2312" w:eastAsia="仿宋_GB2312" w:cs="仿宋_GB2312"/>
          <w:color w:val="000000"/>
          <w:sz w:val="32"/>
          <w:szCs w:val="32"/>
        </w:rPr>
        <w:t>。</w:t>
      </w:r>
    </w:p>
    <w:p>
      <w:pPr>
        <w:keepNext w:val="0"/>
        <w:keepLines w:val="0"/>
        <w:pageBreakBefore w:val="0"/>
        <w:widowControl w:val="0"/>
        <w:kinsoku/>
        <w:wordWrap/>
        <w:overflowPunct/>
        <w:topLinePunct w:val="0"/>
        <w:autoSpaceDE/>
        <w:autoSpaceDN/>
        <w:bidi w:val="0"/>
        <w:adjustRightInd w:val="0"/>
        <w:snapToGrid w:val="0"/>
        <w:spacing w:beforeLines="0" w:afterLines="0" w:line="560" w:lineRule="exact"/>
        <w:ind w:firstLine="640" w:firstLineChars="200"/>
        <w:jc w:val="both"/>
        <w:textAlignment w:val="auto"/>
        <w:rPr>
          <w:rFonts w:hint="eastAsia" w:ascii="仿宋_GB2312" w:hAnsi="仿宋_GB2312" w:eastAsia="仿宋_GB2312" w:cs="仿宋_GB2312"/>
          <w:color w:val="000000"/>
          <w:sz w:val="32"/>
          <w:szCs w:val="32"/>
        </w:rPr>
      </w:pPr>
      <w:r>
        <w:rPr>
          <w:rFonts w:hint="eastAsia" w:ascii="黑体" w:hAnsi="黑体" w:eastAsia="黑体" w:cs="黑体"/>
          <w:bCs/>
          <w:color w:val="000000"/>
          <w:sz w:val="32"/>
          <w:szCs w:val="32"/>
        </w:rPr>
        <w:t>第二十</w:t>
      </w:r>
      <w:r>
        <w:rPr>
          <w:rFonts w:hint="eastAsia" w:ascii="黑体" w:hAnsi="黑体" w:eastAsia="黑体" w:cs="黑体"/>
          <w:bCs/>
          <w:color w:val="000000"/>
          <w:sz w:val="32"/>
          <w:szCs w:val="32"/>
          <w:lang w:val="en-US" w:eastAsia="zh-CN"/>
        </w:rPr>
        <w:t>一</w:t>
      </w:r>
      <w:r>
        <w:rPr>
          <w:rFonts w:hint="eastAsia" w:ascii="黑体" w:hAnsi="黑体" w:eastAsia="黑体" w:cs="黑体"/>
          <w:bCs/>
          <w:color w:val="000000"/>
          <w:sz w:val="32"/>
          <w:szCs w:val="32"/>
        </w:rPr>
        <w:t>条</w:t>
      </w:r>
      <w:r>
        <w:rPr>
          <w:rFonts w:hint="eastAsia" w:ascii="仿宋_GB2312" w:hAnsi="仿宋_GB2312" w:eastAsia="仿宋_GB2312" w:cs="仿宋_GB2312"/>
          <w:color w:val="000000"/>
          <w:sz w:val="32"/>
          <w:szCs w:val="32"/>
        </w:rPr>
        <w:t>　不可移动红色文化遗存应当实施原址保护，任何单位和个人不得擅自迁移、拆除。</w:t>
      </w:r>
    </w:p>
    <w:p>
      <w:pPr>
        <w:keepNext w:val="0"/>
        <w:keepLines w:val="0"/>
        <w:pageBreakBefore w:val="0"/>
        <w:widowControl w:val="0"/>
        <w:kinsoku/>
        <w:wordWrap/>
        <w:overflowPunct/>
        <w:topLinePunct w:val="0"/>
        <w:autoSpaceDE/>
        <w:autoSpaceDN/>
        <w:bidi w:val="0"/>
        <w:adjustRightInd w:val="0"/>
        <w:snapToGrid w:val="0"/>
        <w:spacing w:beforeLines="0" w:afterLines="0" w:line="560" w:lineRule="exact"/>
        <w:ind w:firstLine="640" w:firstLineChars="200"/>
        <w:jc w:val="both"/>
        <w:textAlignment w:val="auto"/>
        <w:rPr>
          <w:rFonts w:ascii="仿宋_GB2312" w:hAnsi="仿宋_GB2312" w:eastAsia="仿宋_GB2312" w:cs="仿宋_GB2312"/>
          <w:color w:val="000000"/>
          <w:spacing w:val="-6"/>
          <w:sz w:val="32"/>
          <w:szCs w:val="32"/>
        </w:rPr>
      </w:pPr>
      <w:r>
        <w:rPr>
          <w:rFonts w:hint="eastAsia" w:ascii="仿宋_GB2312" w:hAnsi="仿宋_GB2312" w:eastAsia="仿宋_GB2312" w:cs="仿宋_GB2312"/>
          <w:color w:val="000000"/>
          <w:sz w:val="32"/>
          <w:szCs w:val="32"/>
        </w:rPr>
        <w:t>尚未登记公布为文物的不可移动红色文化遗存，因</w:t>
      </w:r>
      <w:r>
        <w:rPr>
          <w:rFonts w:hint="eastAsia" w:ascii="仿宋_GB2312" w:hAnsi="仿宋_GB2312" w:eastAsia="仿宋_GB2312" w:cs="仿宋_GB2312"/>
          <w:color w:val="000000"/>
          <w:sz w:val="32"/>
          <w:szCs w:val="32"/>
          <w:lang w:val="en-US" w:eastAsia="zh-CN"/>
        </w:rPr>
        <w:t>重大公共利益</w:t>
      </w:r>
      <w:r>
        <w:rPr>
          <w:rFonts w:hint="eastAsia" w:ascii="仿宋_GB2312" w:hAnsi="仿宋_GB2312" w:eastAsia="仿宋_GB2312" w:cs="仿宋_GB2312"/>
          <w:color w:val="000000"/>
          <w:sz w:val="32"/>
          <w:szCs w:val="32"/>
        </w:rPr>
        <w:t>需要</w:t>
      </w:r>
      <w:r>
        <w:rPr>
          <w:rFonts w:hint="eastAsia" w:ascii="仿宋_GB2312" w:hAnsi="仿宋_GB2312" w:eastAsia="仿宋_GB2312" w:cs="仿宋_GB2312"/>
          <w:color w:val="000000"/>
          <w:sz w:val="32"/>
          <w:szCs w:val="32"/>
          <w:lang w:val="en-US" w:eastAsia="zh-CN"/>
        </w:rPr>
        <w:t>进行异地保护</w:t>
      </w:r>
      <w:r>
        <w:rPr>
          <w:rFonts w:hint="eastAsia" w:ascii="仿宋_GB2312" w:hAnsi="仿宋_GB2312" w:eastAsia="仿宋_GB2312" w:cs="仿宋_GB2312"/>
          <w:color w:val="000000"/>
          <w:sz w:val="32"/>
          <w:szCs w:val="32"/>
        </w:rPr>
        <w:t>的，建设单位应当制定迁移异地保护方</w:t>
      </w:r>
      <w:r>
        <w:rPr>
          <w:rFonts w:hint="eastAsia" w:ascii="仿宋_GB2312" w:hAnsi="仿宋_GB2312" w:eastAsia="仿宋_GB2312" w:cs="仿宋_GB2312"/>
          <w:color w:val="000000"/>
          <w:spacing w:val="-6"/>
          <w:sz w:val="32"/>
          <w:szCs w:val="32"/>
        </w:rPr>
        <w:t>案，并征求相关部门意见。所需费用由建设单位列入建设工程预算。</w:t>
      </w:r>
    </w:p>
    <w:p>
      <w:pPr>
        <w:keepNext w:val="0"/>
        <w:keepLines w:val="0"/>
        <w:pageBreakBefore w:val="0"/>
        <w:widowControl w:val="0"/>
        <w:kinsoku/>
        <w:wordWrap/>
        <w:overflowPunct/>
        <w:topLinePunct w:val="0"/>
        <w:autoSpaceDE/>
        <w:autoSpaceDN/>
        <w:bidi w:val="0"/>
        <w:adjustRightInd w:val="0"/>
        <w:snapToGrid w:val="0"/>
        <w:spacing w:beforeLines="0" w:afterLines="0" w:line="560" w:lineRule="exact"/>
        <w:ind w:firstLine="640" w:firstLineChars="200"/>
        <w:jc w:val="both"/>
        <w:rPr>
          <w:rFonts w:ascii="仿宋_GB2312" w:hAnsi="仿宋_GB2312" w:eastAsia="仿宋_GB2312" w:cs="仿宋_GB2312"/>
          <w:color w:val="000000"/>
          <w:sz w:val="32"/>
          <w:szCs w:val="32"/>
        </w:rPr>
      </w:pPr>
      <w:r>
        <w:rPr>
          <w:rFonts w:hint="eastAsia" w:ascii="黑体" w:hAnsi="黑体" w:eastAsia="黑体" w:cs="黑体"/>
          <w:bCs/>
          <w:color w:val="000000"/>
          <w:sz w:val="32"/>
          <w:szCs w:val="32"/>
        </w:rPr>
        <w:t>第二十</w:t>
      </w:r>
      <w:r>
        <w:rPr>
          <w:rFonts w:hint="eastAsia" w:ascii="黑体" w:hAnsi="黑体" w:eastAsia="黑体" w:cs="黑体"/>
          <w:bCs/>
          <w:color w:val="000000"/>
          <w:sz w:val="32"/>
          <w:szCs w:val="32"/>
          <w:lang w:val="en-US" w:eastAsia="zh-CN"/>
        </w:rPr>
        <w:t>二</w:t>
      </w:r>
      <w:r>
        <w:rPr>
          <w:rFonts w:hint="eastAsia" w:ascii="黑体" w:hAnsi="黑体" w:eastAsia="黑体" w:cs="黑体"/>
          <w:bCs/>
          <w:color w:val="000000"/>
          <w:sz w:val="32"/>
          <w:szCs w:val="32"/>
        </w:rPr>
        <w:t>条</w:t>
      </w:r>
      <w:r>
        <w:rPr>
          <w:rFonts w:hint="eastAsia" w:ascii="仿宋_GB2312" w:hAnsi="仿宋_GB2312" w:eastAsia="仿宋_GB2312" w:cs="仿宋_GB2312"/>
          <w:b/>
          <w:color w:val="000000"/>
          <w:sz w:val="32"/>
          <w:szCs w:val="32"/>
        </w:rPr>
        <w:t>　</w:t>
      </w:r>
      <w:r>
        <w:rPr>
          <w:rFonts w:hint="eastAsia" w:ascii="仿宋_GB2312" w:hAnsi="仿宋_GB2312" w:eastAsia="仿宋_GB2312" w:cs="仿宋_GB2312"/>
          <w:color w:val="000000"/>
          <w:sz w:val="32"/>
          <w:szCs w:val="32"/>
        </w:rPr>
        <w:t>县级人民政府应当根据不可移动红色文化遗存的规模、内容、周边环境的历史和现实情况，合理划定保护范围并予以公布。</w:t>
      </w:r>
    </w:p>
    <w:p>
      <w:pPr>
        <w:keepNext w:val="0"/>
        <w:keepLines w:val="0"/>
        <w:pageBreakBefore w:val="0"/>
        <w:widowControl w:val="0"/>
        <w:kinsoku/>
        <w:wordWrap/>
        <w:overflowPunct/>
        <w:topLinePunct w:val="0"/>
        <w:autoSpaceDE/>
        <w:autoSpaceDN/>
        <w:bidi w:val="0"/>
        <w:adjustRightInd w:val="0"/>
        <w:snapToGrid w:val="0"/>
        <w:spacing w:beforeLines="0" w:afterLines="0" w:line="560" w:lineRule="exact"/>
        <w:ind w:firstLine="640" w:firstLineChars="200"/>
        <w:textAlignment w:val="auto"/>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在不可移动红色文化遗存保护范围内，禁止从事下列行为：</w:t>
      </w:r>
    </w:p>
    <w:p>
      <w:pPr>
        <w:keepNext w:val="0"/>
        <w:keepLines w:val="0"/>
        <w:pageBreakBefore w:val="0"/>
        <w:widowControl w:val="0"/>
        <w:kinsoku/>
        <w:wordWrap/>
        <w:overflowPunct/>
        <w:topLinePunct w:val="0"/>
        <w:autoSpaceDE/>
        <w:autoSpaceDN/>
        <w:bidi w:val="0"/>
        <w:adjustRightInd w:val="0"/>
        <w:snapToGrid w:val="0"/>
        <w:spacing w:beforeLines="0" w:afterLines="0" w:line="560" w:lineRule="exact"/>
        <w:ind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（一）生产、存储或者经营易燃、易爆、腐蚀性等危害遗存安全的物品；</w:t>
      </w:r>
    </w:p>
    <w:p>
      <w:pPr>
        <w:keepNext w:val="0"/>
        <w:keepLines w:val="0"/>
        <w:pageBreakBefore w:val="0"/>
        <w:widowControl w:val="0"/>
        <w:kinsoku/>
        <w:wordWrap/>
        <w:overflowPunct/>
        <w:topLinePunct w:val="0"/>
        <w:autoSpaceDE/>
        <w:autoSpaceDN/>
        <w:bidi w:val="0"/>
        <w:adjustRightInd w:val="0"/>
        <w:snapToGrid w:val="0"/>
        <w:spacing w:beforeLines="0" w:afterLines="0" w:line="560" w:lineRule="exact"/>
        <w:ind w:firstLine="640" w:firstLineChars="200"/>
        <w:textAlignment w:val="auto"/>
        <w:rPr>
          <w:rFonts w:hint="eastAsia" w:ascii="仿宋_GB2312" w:hAnsi="仿宋_GB2312" w:eastAsia="仿宋_GB2312" w:cs="仿宋_GB2312"/>
          <w:color w:val="000000"/>
          <w:sz w:val="32"/>
          <w:szCs w:val="32"/>
          <w:lang w:val="en-US" w:eastAsia="zh-CN"/>
        </w:rPr>
      </w:pPr>
      <w:r>
        <w:rPr>
          <w:rFonts w:hint="eastAsia" w:ascii="仿宋_GB2312" w:hAnsi="仿宋_GB2312" w:eastAsia="仿宋_GB2312" w:cs="仿宋_GB2312"/>
          <w:color w:val="000000"/>
          <w:sz w:val="32"/>
          <w:szCs w:val="32"/>
          <w:lang w:val="en-US" w:eastAsia="zh-CN"/>
        </w:rPr>
        <w:t>（二）建设影响遗存安全及其环境的项目；</w:t>
      </w:r>
    </w:p>
    <w:p>
      <w:pPr>
        <w:keepNext w:val="0"/>
        <w:keepLines w:val="0"/>
        <w:pageBreakBefore w:val="0"/>
        <w:widowControl w:val="0"/>
        <w:kinsoku/>
        <w:wordWrap/>
        <w:overflowPunct/>
        <w:topLinePunct w:val="0"/>
        <w:autoSpaceDE/>
        <w:autoSpaceDN/>
        <w:bidi w:val="0"/>
        <w:adjustRightInd w:val="0"/>
        <w:snapToGrid w:val="0"/>
        <w:spacing w:beforeLines="0" w:afterLines="0" w:line="560" w:lineRule="exact"/>
        <w:ind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lang w:val="en-US" w:eastAsia="zh-CN"/>
        </w:rPr>
        <w:t>（三）</w:t>
      </w:r>
      <w:r>
        <w:rPr>
          <w:rFonts w:hint="eastAsia" w:ascii="仿宋_GB2312" w:hAnsi="仿宋_GB2312" w:eastAsia="仿宋_GB2312" w:cs="仿宋_GB2312"/>
          <w:color w:val="000000"/>
          <w:sz w:val="32"/>
          <w:szCs w:val="32"/>
        </w:rPr>
        <w:t>安装影响遗存安全的设施设备；</w:t>
      </w:r>
    </w:p>
    <w:p>
      <w:pPr>
        <w:keepNext w:val="0"/>
        <w:keepLines w:val="0"/>
        <w:pageBreakBefore w:val="0"/>
        <w:widowControl w:val="0"/>
        <w:kinsoku/>
        <w:wordWrap/>
        <w:overflowPunct/>
        <w:topLinePunct w:val="0"/>
        <w:autoSpaceDE/>
        <w:autoSpaceDN/>
        <w:bidi w:val="0"/>
        <w:adjustRightInd w:val="0"/>
        <w:snapToGrid w:val="0"/>
        <w:spacing w:beforeLines="0" w:afterLines="0" w:line="560" w:lineRule="exact"/>
        <w:ind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lang w:val="en-US" w:eastAsia="zh-CN"/>
        </w:rPr>
        <w:t>（四）</w:t>
      </w:r>
      <w:r>
        <w:rPr>
          <w:rFonts w:hint="eastAsia" w:ascii="仿宋_GB2312" w:hAnsi="仿宋_GB2312" w:eastAsia="仿宋_GB2312" w:cs="仿宋_GB2312"/>
          <w:color w:val="000000"/>
          <w:sz w:val="32"/>
          <w:szCs w:val="32"/>
        </w:rPr>
        <w:t>刻划、涂污</w:t>
      </w:r>
      <w:r>
        <w:rPr>
          <w:rFonts w:hint="eastAsia" w:ascii="仿宋_GB2312" w:hAnsi="仿宋_GB2312" w:eastAsia="仿宋_GB2312" w:cs="仿宋_GB2312"/>
          <w:color w:val="000000"/>
          <w:sz w:val="32"/>
          <w:szCs w:val="32"/>
          <w:lang w:val="en-US" w:eastAsia="zh-CN"/>
        </w:rPr>
        <w:t>或者以其他方式故意损坏遗存</w:t>
      </w:r>
      <w:r>
        <w:rPr>
          <w:rFonts w:hint="eastAsia" w:ascii="仿宋_GB2312" w:hAnsi="仿宋_GB2312" w:eastAsia="仿宋_GB2312" w:cs="仿宋_GB2312"/>
          <w:color w:val="000000"/>
          <w:sz w:val="32"/>
          <w:szCs w:val="32"/>
        </w:rPr>
        <w:t>；</w:t>
      </w:r>
    </w:p>
    <w:p>
      <w:pPr>
        <w:keepNext w:val="0"/>
        <w:keepLines w:val="0"/>
        <w:pageBreakBefore w:val="0"/>
        <w:widowControl w:val="0"/>
        <w:kinsoku/>
        <w:wordWrap/>
        <w:overflowPunct/>
        <w:topLinePunct w:val="0"/>
        <w:autoSpaceDE/>
        <w:autoSpaceDN/>
        <w:bidi w:val="0"/>
        <w:adjustRightInd w:val="0"/>
        <w:snapToGrid w:val="0"/>
        <w:spacing w:beforeLines="0" w:afterLines="0" w:line="560" w:lineRule="exact"/>
        <w:ind w:firstLine="640" w:firstLineChars="200"/>
        <w:textAlignment w:val="auto"/>
        <w:rPr>
          <w:rFonts w:hint="eastAsia" w:ascii="仿宋_GB2312" w:hAnsi="仿宋_GB2312" w:eastAsia="仿宋_GB2312" w:cs="仿宋_GB2312"/>
          <w:color w:val="000000"/>
          <w:spacing w:val="-11"/>
          <w:sz w:val="32"/>
          <w:szCs w:val="32"/>
        </w:rPr>
      </w:pPr>
      <w:r>
        <w:rPr>
          <w:rFonts w:hint="eastAsia" w:ascii="仿宋_GB2312" w:hAnsi="仿宋_GB2312" w:eastAsia="仿宋_GB2312" w:cs="仿宋_GB2312"/>
          <w:color w:val="000000"/>
          <w:sz w:val="32"/>
          <w:szCs w:val="32"/>
          <w:lang w:val="en-US" w:eastAsia="zh-CN"/>
        </w:rPr>
        <w:t>（五）</w:t>
      </w:r>
      <w:r>
        <w:rPr>
          <w:rFonts w:hint="eastAsia" w:ascii="仿宋_GB2312" w:hAnsi="仿宋_GB2312" w:eastAsia="仿宋_GB2312" w:cs="仿宋_GB2312"/>
          <w:color w:val="000000"/>
          <w:spacing w:val="-11"/>
          <w:sz w:val="32"/>
          <w:szCs w:val="32"/>
        </w:rPr>
        <w:t>损</w:t>
      </w:r>
      <w:r>
        <w:rPr>
          <w:rFonts w:hint="eastAsia" w:ascii="仿宋_GB2312" w:hAnsi="仿宋_GB2312" w:eastAsia="仿宋_GB2312" w:cs="仿宋_GB2312"/>
          <w:color w:val="000000"/>
          <w:spacing w:val="-11"/>
          <w:sz w:val="32"/>
          <w:szCs w:val="32"/>
          <w:lang w:val="en-US" w:eastAsia="zh-CN"/>
        </w:rPr>
        <w:t>毁</w:t>
      </w:r>
      <w:r>
        <w:rPr>
          <w:rFonts w:hint="eastAsia" w:ascii="仿宋_GB2312" w:hAnsi="仿宋_GB2312" w:eastAsia="仿宋_GB2312" w:cs="仿宋_GB2312"/>
          <w:color w:val="000000"/>
          <w:spacing w:val="-11"/>
          <w:sz w:val="32"/>
          <w:szCs w:val="32"/>
        </w:rPr>
        <w:t>或者擅自移动、拆除遗存保护标志及其他保护设施；</w:t>
      </w:r>
    </w:p>
    <w:p>
      <w:pPr>
        <w:keepNext w:val="0"/>
        <w:keepLines w:val="0"/>
        <w:pageBreakBefore w:val="0"/>
        <w:widowControl w:val="0"/>
        <w:kinsoku/>
        <w:wordWrap/>
        <w:overflowPunct/>
        <w:topLinePunct w:val="0"/>
        <w:autoSpaceDE/>
        <w:autoSpaceDN/>
        <w:bidi w:val="0"/>
        <w:adjustRightInd w:val="0"/>
        <w:snapToGrid w:val="0"/>
        <w:spacing w:beforeLines="0" w:afterLines="0" w:line="560" w:lineRule="exact"/>
        <w:ind w:firstLine="640" w:firstLineChars="200"/>
        <w:textAlignment w:val="auto"/>
        <w:rPr>
          <w:rFonts w:hint="eastAsia" w:ascii="仿宋_GB2312" w:hAnsi="仿宋_GB2312" w:eastAsia="仿宋_GB2312" w:cs="仿宋_GB2312"/>
          <w:color w:val="000000"/>
          <w:sz w:val="32"/>
          <w:szCs w:val="32"/>
          <w:lang w:val="en-US" w:eastAsia="zh-CN"/>
        </w:rPr>
      </w:pPr>
      <w:r>
        <w:rPr>
          <w:rFonts w:hint="eastAsia" w:ascii="仿宋_GB2312" w:hAnsi="仿宋_GB2312" w:eastAsia="仿宋_GB2312" w:cs="仿宋_GB2312"/>
          <w:color w:val="000000"/>
          <w:sz w:val="32"/>
          <w:szCs w:val="32"/>
          <w:lang w:val="en-US" w:eastAsia="zh-CN"/>
        </w:rPr>
        <w:t>（六）开展与遗存环境氛围不相协调的经营或者娱乐活动；</w:t>
      </w:r>
    </w:p>
    <w:p>
      <w:pPr>
        <w:keepNext w:val="0"/>
        <w:keepLines w:val="0"/>
        <w:pageBreakBefore w:val="0"/>
        <w:widowControl w:val="0"/>
        <w:kinsoku/>
        <w:wordWrap/>
        <w:overflowPunct/>
        <w:topLinePunct w:val="0"/>
        <w:autoSpaceDE/>
        <w:autoSpaceDN/>
        <w:bidi w:val="0"/>
        <w:adjustRightInd w:val="0"/>
        <w:snapToGrid w:val="0"/>
        <w:spacing w:beforeLines="0" w:afterLines="0" w:line="560" w:lineRule="exact"/>
        <w:ind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lang w:val="en-US" w:eastAsia="zh-CN"/>
        </w:rPr>
        <w:t>（七）</w:t>
      </w:r>
      <w:r>
        <w:rPr>
          <w:rFonts w:hint="eastAsia" w:ascii="仿宋_GB2312" w:hAnsi="仿宋_GB2312" w:eastAsia="仿宋_GB2312" w:cs="仿宋_GB2312"/>
          <w:color w:val="000000"/>
          <w:sz w:val="32"/>
          <w:szCs w:val="32"/>
        </w:rPr>
        <w:t>其他影响、危害、破坏遗存环境和安全的行为。</w:t>
      </w:r>
    </w:p>
    <w:p>
      <w:pPr>
        <w:keepNext w:val="0"/>
        <w:keepLines w:val="0"/>
        <w:pageBreakBefore w:val="0"/>
        <w:widowControl w:val="0"/>
        <w:kinsoku/>
        <w:wordWrap/>
        <w:overflowPunct/>
        <w:topLinePunct w:val="0"/>
        <w:autoSpaceDE/>
        <w:autoSpaceDN/>
        <w:bidi w:val="0"/>
        <w:adjustRightInd w:val="0"/>
        <w:snapToGrid w:val="0"/>
        <w:spacing w:beforeLines="0" w:afterLines="0" w:line="560" w:lineRule="exact"/>
        <w:ind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w:t>
      </w:r>
      <w:r>
        <w:rPr>
          <w:rFonts w:hint="eastAsia" w:ascii="黑体" w:hAnsi="黑体" w:eastAsia="黑体" w:cs="黑体"/>
          <w:bCs/>
          <w:color w:val="000000"/>
          <w:sz w:val="32"/>
          <w:szCs w:val="32"/>
          <w:lang w:val="en-US" w:eastAsia="zh-CN"/>
        </w:rPr>
        <w:t>三</w:t>
      </w:r>
      <w:r>
        <w:rPr>
          <w:rFonts w:hint="eastAsia" w:ascii="黑体" w:hAnsi="黑体" w:eastAsia="黑体" w:cs="黑体"/>
          <w:color w:val="000000"/>
          <w:sz w:val="32"/>
          <w:szCs w:val="32"/>
        </w:rPr>
        <w:t>条</w:t>
      </w:r>
      <w:r>
        <w:rPr>
          <w:rFonts w:ascii="黑体" w:hAnsi="黑体" w:eastAsia="黑体" w:cs="黑体"/>
          <w:color w:val="000000"/>
          <w:sz w:val="32"/>
          <w:szCs w:val="32"/>
        </w:rPr>
        <w:t xml:space="preserve">  </w:t>
      </w:r>
      <w:r>
        <w:rPr>
          <w:rFonts w:hint="eastAsia" w:ascii="仿宋_GB2312" w:hAnsi="仿宋_GB2312" w:eastAsia="仿宋_GB2312" w:cs="仿宋_GB2312"/>
          <w:color w:val="000000"/>
          <w:sz w:val="32"/>
          <w:szCs w:val="32"/>
        </w:rPr>
        <w:t>县级以上地方人民政府设立的博物馆、纪念馆、档案馆等收藏、研究机构，可以对可移动红色文化遗存进行征集、收购。征集、收购应当遵循公平、自愿的原则。</w:t>
      </w:r>
    </w:p>
    <w:p>
      <w:pPr>
        <w:keepNext w:val="0"/>
        <w:keepLines w:val="0"/>
        <w:pageBreakBefore w:val="0"/>
        <w:widowControl w:val="0"/>
        <w:kinsoku/>
        <w:wordWrap/>
        <w:overflowPunct/>
        <w:topLinePunct w:val="0"/>
        <w:autoSpaceDE/>
        <w:autoSpaceDN/>
        <w:bidi w:val="0"/>
        <w:adjustRightInd w:val="0"/>
        <w:snapToGrid w:val="0"/>
        <w:spacing w:beforeLines="0" w:afterLines="0" w:line="560" w:lineRule="exact"/>
        <w:ind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博物馆、纪念馆、档案馆等收藏、研究机构应当建立健全收藏、保管制度，完善收藏、保管条件。</w:t>
      </w:r>
      <w:r>
        <w:rPr>
          <w:rFonts w:hint="eastAsia" w:ascii="仿宋_GB2312" w:hAnsi="仿宋_GB2312" w:eastAsia="仿宋_GB2312" w:cs="仿宋_GB2312"/>
          <w:color w:val="000000"/>
          <w:sz w:val="32"/>
          <w:szCs w:val="32"/>
          <w:lang w:val="en-US" w:eastAsia="zh-CN"/>
        </w:rPr>
        <w:t>对</w:t>
      </w:r>
      <w:r>
        <w:rPr>
          <w:rFonts w:hint="eastAsia" w:ascii="仿宋_GB2312" w:hAnsi="仿宋_GB2312" w:eastAsia="仿宋_GB2312" w:cs="仿宋_GB2312"/>
          <w:color w:val="000000"/>
          <w:sz w:val="32"/>
          <w:szCs w:val="32"/>
        </w:rPr>
        <w:t>可移动红色文化遗存</w:t>
      </w:r>
      <w:r>
        <w:rPr>
          <w:rFonts w:hint="eastAsia" w:ascii="仿宋_GB2312" w:hAnsi="仿宋_GB2312" w:eastAsia="仿宋_GB2312" w:cs="仿宋_GB2312"/>
          <w:color w:val="000000"/>
          <w:sz w:val="32"/>
          <w:szCs w:val="32"/>
          <w:lang w:val="en-US" w:eastAsia="zh-CN"/>
        </w:rPr>
        <w:t>做好</w:t>
      </w:r>
      <w:r>
        <w:rPr>
          <w:rFonts w:hint="eastAsia" w:ascii="仿宋_GB2312" w:hAnsi="仿宋_GB2312" w:eastAsia="仿宋_GB2312" w:cs="仿宋_GB2312"/>
          <w:color w:val="000000"/>
          <w:sz w:val="32"/>
          <w:szCs w:val="32"/>
        </w:rPr>
        <w:t>预防性保护和数字化保护。</w:t>
      </w:r>
    </w:p>
    <w:p>
      <w:pPr>
        <w:keepNext w:val="0"/>
        <w:keepLines w:val="0"/>
        <w:pageBreakBefore w:val="0"/>
        <w:widowControl w:val="0"/>
        <w:kinsoku/>
        <w:wordWrap/>
        <w:overflowPunct/>
        <w:topLinePunct w:val="0"/>
        <w:autoSpaceDE/>
        <w:autoSpaceDN/>
        <w:bidi w:val="0"/>
        <w:adjustRightInd w:val="0"/>
        <w:snapToGrid w:val="0"/>
        <w:spacing w:beforeLines="0" w:afterLines="0" w:line="560" w:lineRule="exact"/>
        <w:ind w:firstLine="640" w:firstLineChars="200"/>
        <w:textAlignment w:val="auto"/>
        <w:rPr>
          <w:rFonts w:ascii="Calibri" w:hAnsi="Calibri" w:eastAsia="宋体" w:cs="Times New Roman"/>
          <w:sz w:val="21"/>
        </w:rPr>
      </w:pPr>
      <w:r>
        <w:rPr>
          <w:rFonts w:hint="eastAsia" w:ascii="黑体" w:hAnsi="黑体" w:eastAsia="黑体" w:cs="黑体"/>
          <w:color w:val="000000"/>
          <w:sz w:val="32"/>
          <w:szCs w:val="32"/>
        </w:rPr>
        <w:t>第二十</w:t>
      </w:r>
      <w:r>
        <w:rPr>
          <w:rFonts w:hint="eastAsia" w:ascii="黑体" w:hAnsi="黑体" w:eastAsia="黑体" w:cs="黑体"/>
          <w:bCs/>
          <w:color w:val="000000"/>
          <w:sz w:val="32"/>
          <w:szCs w:val="32"/>
          <w:lang w:val="en-US" w:eastAsia="zh-CN"/>
        </w:rPr>
        <w:t>四</w:t>
      </w:r>
      <w:r>
        <w:rPr>
          <w:rFonts w:hint="eastAsia" w:ascii="黑体" w:hAnsi="黑体" w:eastAsia="黑体" w:cs="黑体"/>
          <w:color w:val="000000"/>
          <w:sz w:val="32"/>
          <w:szCs w:val="32"/>
        </w:rPr>
        <w:t>条</w:t>
      </w:r>
      <w:r>
        <w:rPr>
          <w:rFonts w:ascii="黑体" w:hAnsi="黑体" w:eastAsia="黑体" w:cs="黑体"/>
          <w:color w:val="000000"/>
          <w:sz w:val="32"/>
          <w:szCs w:val="32"/>
        </w:rPr>
        <w:t xml:space="preserve">  </w:t>
      </w:r>
      <w:r>
        <w:rPr>
          <w:rFonts w:hint="eastAsia" w:ascii="仿宋_GB2312" w:hAnsi="仿宋_GB2312" w:eastAsia="仿宋_GB2312" w:cs="仿宋_GB2312"/>
          <w:color w:val="000000"/>
          <w:sz w:val="32"/>
          <w:szCs w:val="32"/>
        </w:rPr>
        <w:t>鼓励单位和个人将收藏的可移动红色文化遗存捐赠或者出借给政府设立的收藏、研究机构。受赠单位或者借用单位应当尊重捐赠人或者出借人的意愿，对捐赠物或者出借物妥善收藏、保管。</w:t>
      </w:r>
    </w:p>
    <w:p>
      <w:pPr>
        <w:keepNext w:val="0"/>
        <w:keepLines w:val="0"/>
        <w:pageBreakBefore w:val="0"/>
        <w:widowControl w:val="0"/>
        <w:numPr>
          <w:ilvl w:val="0"/>
          <w:numId w:val="0"/>
        </w:numPr>
        <w:kinsoku/>
        <w:wordWrap/>
        <w:overflowPunct/>
        <w:topLinePunct w:val="0"/>
        <w:autoSpaceDE/>
        <w:autoSpaceDN/>
        <w:bidi w:val="0"/>
        <w:adjustRightInd w:val="0"/>
        <w:snapToGrid w:val="0"/>
        <w:spacing w:before="157" w:beforeLines="50" w:after="157" w:afterLines="50" w:line="560" w:lineRule="exact"/>
        <w:ind w:right="0" w:rightChars="0"/>
        <w:jc w:val="center"/>
        <w:textAlignment w:val="auto"/>
        <w:outlineLvl w:val="9"/>
        <w:rPr>
          <w:rFonts w:ascii="仿宋_GB2312" w:hAnsi="仿宋_GB2312" w:eastAsia="仿宋_GB2312" w:cs="仿宋_GB2312"/>
          <w:b/>
          <w:color w:val="333333"/>
          <w:kern w:val="0"/>
          <w:sz w:val="32"/>
          <w:szCs w:val="32"/>
          <w:shd w:val="clear" w:color="auto" w:fill="FFFFFF"/>
        </w:rPr>
      </w:pPr>
      <w:r>
        <w:rPr>
          <w:rFonts w:hint="eastAsia" w:ascii="黑体" w:hAnsi="黑体" w:eastAsia="黑体" w:cs="黑体"/>
          <w:color w:val="000000"/>
          <w:sz w:val="32"/>
          <w:szCs w:val="32"/>
          <w:lang w:eastAsia="zh-CN"/>
        </w:rPr>
        <w:t>第四章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传承利用</w:t>
      </w:r>
    </w:p>
    <w:p>
      <w:pPr>
        <w:keepNext w:val="0"/>
        <w:keepLines w:val="0"/>
        <w:pageBreakBefore w:val="0"/>
        <w:widowControl w:val="0"/>
        <w:kinsoku/>
        <w:wordWrap/>
        <w:overflowPunct/>
        <w:topLinePunct w:val="0"/>
        <w:autoSpaceDE/>
        <w:autoSpaceDN/>
        <w:bidi w:val="0"/>
        <w:adjustRightInd w:val="0"/>
        <w:snapToGrid w:val="0"/>
        <w:spacing w:beforeLines="0" w:afterLines="0" w:line="560" w:lineRule="exact"/>
        <w:ind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w:t>
      </w:r>
      <w:r>
        <w:rPr>
          <w:rFonts w:hint="eastAsia" w:ascii="黑体" w:hAnsi="黑体" w:eastAsia="黑体" w:cs="黑体"/>
          <w:bCs/>
          <w:color w:val="000000"/>
          <w:sz w:val="32"/>
          <w:szCs w:val="32"/>
          <w:lang w:val="en-US" w:eastAsia="zh-CN"/>
        </w:rPr>
        <w:t>二</w:t>
      </w:r>
      <w:r>
        <w:rPr>
          <w:rFonts w:hint="eastAsia" w:ascii="黑体" w:hAnsi="黑体" w:eastAsia="黑体" w:cs="黑体"/>
          <w:color w:val="000000"/>
          <w:sz w:val="32"/>
          <w:szCs w:val="32"/>
        </w:rPr>
        <w:t>十</w:t>
      </w:r>
      <w:r>
        <w:rPr>
          <w:rFonts w:hint="eastAsia" w:ascii="黑体" w:hAnsi="黑体" w:eastAsia="黑体" w:cs="黑体"/>
          <w:color w:val="000000"/>
          <w:sz w:val="32"/>
          <w:szCs w:val="32"/>
          <w:lang w:val="en-US" w:eastAsia="zh-CN"/>
        </w:rPr>
        <w:t>五</w:t>
      </w:r>
      <w:r>
        <w:rPr>
          <w:rFonts w:hint="eastAsia" w:ascii="黑体" w:hAnsi="黑体" w:eastAsia="黑体" w:cs="黑体"/>
          <w:color w:val="000000"/>
          <w:sz w:val="32"/>
          <w:szCs w:val="32"/>
        </w:rPr>
        <w:t>条</w:t>
      </w:r>
      <w:r>
        <w:rPr>
          <w:rFonts w:hint="eastAsia" w:ascii="仿宋_GB2312" w:hAnsi="仿宋_GB2312" w:eastAsia="仿宋_GB2312" w:cs="仿宋_GB2312"/>
          <w:color w:val="000000"/>
          <w:sz w:val="32"/>
          <w:szCs w:val="32"/>
        </w:rPr>
        <w:t>　红色文化遗存的传承利用应当坚持以社会主义核心价值观为引领，以保证红色文化遗存安全为前提，加强对红色文化遗存</w:t>
      </w:r>
      <w:r>
        <w:rPr>
          <w:rFonts w:hint="eastAsia" w:ascii="仿宋_GB2312" w:hAnsi="仿宋_GB2312" w:eastAsia="仿宋_GB2312" w:cs="仿宋_GB2312"/>
          <w:color w:val="000000"/>
          <w:sz w:val="32"/>
          <w:szCs w:val="32"/>
          <w:lang w:val="en-US" w:eastAsia="zh-CN"/>
        </w:rPr>
        <w:t>时代</w:t>
      </w:r>
      <w:r>
        <w:rPr>
          <w:rFonts w:hint="eastAsia" w:ascii="仿宋_GB2312" w:hAnsi="仿宋_GB2312" w:eastAsia="仿宋_GB2312" w:cs="仿宋_GB2312"/>
          <w:color w:val="000000"/>
          <w:sz w:val="32"/>
          <w:szCs w:val="32"/>
        </w:rPr>
        <w:t>内涵和历史价值的发掘、研究和宣传展示，注重对红色文化遗存原有历史信息的延续和</w:t>
      </w:r>
      <w:r>
        <w:rPr>
          <w:rFonts w:hint="eastAsia" w:ascii="仿宋_GB2312" w:hAnsi="仿宋_GB2312" w:eastAsia="仿宋_GB2312" w:cs="仿宋_GB2312"/>
          <w:color w:val="000000"/>
          <w:sz w:val="32"/>
          <w:szCs w:val="32"/>
          <w:lang w:val="en-US" w:eastAsia="zh-CN"/>
        </w:rPr>
        <w:t>红色</w:t>
      </w:r>
      <w:r>
        <w:rPr>
          <w:rFonts w:hint="eastAsia" w:ascii="仿宋_GB2312" w:hAnsi="仿宋_GB2312" w:eastAsia="仿宋_GB2312" w:cs="仿宋_GB2312"/>
          <w:color w:val="000000"/>
          <w:sz w:val="32"/>
          <w:szCs w:val="32"/>
        </w:rPr>
        <w:t>文化的传承。</w:t>
      </w:r>
    </w:p>
    <w:p>
      <w:pPr>
        <w:keepNext w:val="0"/>
        <w:keepLines w:val="0"/>
        <w:pageBreakBefore w:val="0"/>
        <w:widowControl w:val="0"/>
        <w:kinsoku/>
        <w:wordWrap/>
        <w:overflowPunct/>
        <w:topLinePunct w:val="0"/>
        <w:autoSpaceDE/>
        <w:autoSpaceDN/>
        <w:bidi w:val="0"/>
        <w:adjustRightInd w:val="0"/>
        <w:snapToGrid w:val="0"/>
        <w:spacing w:beforeLines="0" w:afterLines="0" w:line="560"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禁止歪曲、贬损、丑化红色文化遗存。</w:t>
      </w:r>
    </w:p>
    <w:p>
      <w:pPr>
        <w:keepNext w:val="0"/>
        <w:keepLines w:val="0"/>
        <w:pageBreakBefore w:val="0"/>
        <w:widowControl w:val="0"/>
        <w:kinsoku/>
        <w:wordWrap/>
        <w:overflowPunct/>
        <w:topLinePunct w:val="0"/>
        <w:autoSpaceDE/>
        <w:autoSpaceDN/>
        <w:bidi w:val="0"/>
        <w:adjustRightInd w:val="0"/>
        <w:snapToGrid w:val="0"/>
        <w:spacing w:beforeLines="0" w:afterLines="0" w:line="560" w:lineRule="exact"/>
        <w:ind w:firstLine="640" w:firstLineChars="200"/>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w:t>
      </w:r>
      <w:r>
        <w:rPr>
          <w:rFonts w:hint="eastAsia" w:ascii="黑体" w:hAnsi="黑体" w:eastAsia="黑体" w:cs="黑体"/>
          <w:color w:val="000000"/>
          <w:sz w:val="32"/>
          <w:szCs w:val="32"/>
          <w:lang w:val="en-US" w:eastAsia="zh-CN"/>
        </w:rPr>
        <w:t>二十六</w:t>
      </w:r>
      <w:r>
        <w:rPr>
          <w:rFonts w:hint="eastAsia" w:ascii="黑体" w:hAnsi="黑体" w:eastAsia="黑体" w:cs="黑体"/>
          <w:color w:val="000000"/>
          <w:sz w:val="32"/>
          <w:szCs w:val="32"/>
        </w:rPr>
        <w:t>条</w:t>
      </w:r>
      <w:r>
        <w:rPr>
          <w:rFonts w:ascii="黑体" w:hAnsi="黑体" w:eastAsia="黑体" w:cs="黑体"/>
          <w:color w:val="000000"/>
          <w:sz w:val="32"/>
          <w:szCs w:val="32"/>
        </w:rPr>
        <w:t xml:space="preserve">  </w:t>
      </w:r>
      <w:r>
        <w:rPr>
          <w:rFonts w:hint="eastAsia" w:ascii="仿宋_GB2312" w:hAnsi="仿宋_GB2312" w:eastAsia="仿宋_GB2312" w:cs="仿宋_GB2312"/>
          <w:color w:val="000000"/>
          <w:sz w:val="32"/>
          <w:szCs w:val="32"/>
        </w:rPr>
        <w:t>县级以上地方人民政府及其有关部门应当加强红色文化遗存保护的宣传教育，增强全民保护意识，重视红色文化遗存保护研究，加强研究</w:t>
      </w: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color w:val="000000"/>
          <w:sz w:val="32"/>
          <w:szCs w:val="32"/>
        </w:rPr>
        <w:t>讲解等专业人才队伍建设。</w:t>
      </w:r>
    </w:p>
    <w:p>
      <w:pPr>
        <w:keepNext w:val="0"/>
        <w:keepLines w:val="0"/>
        <w:pageBreakBefore w:val="0"/>
        <w:widowControl w:val="0"/>
        <w:kinsoku/>
        <w:wordWrap/>
        <w:overflowPunct/>
        <w:topLinePunct w:val="0"/>
        <w:autoSpaceDE/>
        <w:autoSpaceDN/>
        <w:bidi w:val="0"/>
        <w:adjustRightInd w:val="0"/>
        <w:snapToGrid w:val="0"/>
        <w:spacing w:beforeLines="0" w:afterLines="0" w:line="560"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广播、电视、报刊、网络等应当</w:t>
      </w:r>
      <w:r>
        <w:rPr>
          <w:rFonts w:hint="eastAsia" w:ascii="仿宋_GB2312" w:hAnsi="仿宋_GB2312" w:eastAsia="仿宋_GB2312" w:cs="仿宋_GB2312"/>
          <w:color w:val="000000"/>
          <w:sz w:val="32"/>
          <w:szCs w:val="32"/>
          <w:lang w:eastAsia="zh-CN"/>
        </w:rPr>
        <w:t>通过新闻报道、开设专栏、发布公益广告等方式，拓展新媒体传播渠道，</w:t>
      </w:r>
      <w:r>
        <w:rPr>
          <w:rFonts w:hint="eastAsia" w:ascii="仿宋_GB2312" w:hAnsi="仿宋_GB2312" w:eastAsia="仿宋_GB2312" w:cs="仿宋_GB2312"/>
          <w:color w:val="000000"/>
          <w:sz w:val="32"/>
          <w:szCs w:val="32"/>
        </w:rPr>
        <w:t>开展红色文化主题宣传，</w:t>
      </w:r>
      <w:r>
        <w:rPr>
          <w:rFonts w:hint="eastAsia" w:ascii="仿宋_GB2312" w:hAnsi="仿宋_GB2312" w:eastAsia="仿宋_GB2312" w:cs="仿宋_GB2312"/>
          <w:color w:val="000000"/>
          <w:sz w:val="32"/>
          <w:szCs w:val="32"/>
          <w:lang w:val="en-US" w:eastAsia="zh-CN"/>
        </w:rPr>
        <w:t>弘扬</w:t>
      </w:r>
      <w:r>
        <w:rPr>
          <w:rFonts w:hint="eastAsia" w:ascii="仿宋_GB2312" w:hAnsi="仿宋_GB2312" w:eastAsia="仿宋_GB2312" w:cs="仿宋_GB2312"/>
          <w:color w:val="000000"/>
          <w:sz w:val="32"/>
          <w:szCs w:val="32"/>
        </w:rPr>
        <w:t xml:space="preserve">红色文化。 </w:t>
      </w:r>
    </w:p>
    <w:p>
      <w:pPr>
        <w:keepNext w:val="0"/>
        <w:keepLines w:val="0"/>
        <w:pageBreakBefore w:val="0"/>
        <w:widowControl w:val="0"/>
        <w:kinsoku/>
        <w:wordWrap/>
        <w:overflowPunct/>
        <w:topLinePunct w:val="0"/>
        <w:autoSpaceDE/>
        <w:autoSpaceDN/>
        <w:bidi w:val="0"/>
        <w:adjustRightInd w:val="0"/>
        <w:snapToGrid w:val="0"/>
        <w:spacing w:beforeLines="0" w:afterLines="0" w:line="560" w:lineRule="exact"/>
        <w:ind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w:t>
      </w:r>
      <w:r>
        <w:rPr>
          <w:rFonts w:hint="eastAsia" w:ascii="黑体" w:hAnsi="黑体" w:eastAsia="黑体" w:cs="黑体"/>
          <w:color w:val="000000"/>
          <w:sz w:val="32"/>
          <w:szCs w:val="32"/>
          <w:lang w:val="en-US" w:eastAsia="zh-CN"/>
        </w:rPr>
        <w:t>二十七</w:t>
      </w:r>
      <w:r>
        <w:rPr>
          <w:rFonts w:hint="eastAsia" w:ascii="黑体" w:hAnsi="黑体" w:eastAsia="黑体" w:cs="黑体"/>
          <w:color w:val="000000"/>
          <w:sz w:val="32"/>
          <w:szCs w:val="32"/>
        </w:rPr>
        <w:t>条</w:t>
      </w:r>
      <w:r>
        <w:rPr>
          <w:rFonts w:ascii="黑体" w:hAnsi="黑体" w:eastAsia="黑体" w:cs="黑体"/>
          <w:color w:val="000000"/>
          <w:sz w:val="32"/>
          <w:szCs w:val="32"/>
        </w:rPr>
        <w:t xml:space="preserve">  </w:t>
      </w:r>
      <w:r>
        <w:rPr>
          <w:rFonts w:hint="eastAsia" w:ascii="仿宋_GB2312" w:hAnsi="仿宋_GB2312" w:eastAsia="仿宋_GB2312" w:cs="仿宋_GB2312"/>
          <w:color w:val="000000"/>
          <w:sz w:val="32"/>
          <w:szCs w:val="32"/>
        </w:rPr>
        <w:t>具备开放条件的不可移动红色文化遗存应当</w:t>
      </w:r>
      <w:r>
        <w:rPr>
          <w:rFonts w:hint="eastAsia" w:ascii="仿宋_GB2312" w:hAnsi="仿宋_GB2312" w:eastAsia="仿宋_GB2312" w:cs="仿宋_GB2312"/>
          <w:color w:val="000000"/>
          <w:sz w:val="32"/>
          <w:szCs w:val="32"/>
          <w:lang w:val="en-US" w:eastAsia="zh-CN"/>
        </w:rPr>
        <w:t>按照国家有关规定，免费或者优惠</w:t>
      </w:r>
      <w:r>
        <w:rPr>
          <w:rFonts w:hint="eastAsia" w:ascii="仿宋_GB2312" w:hAnsi="仿宋_GB2312" w:eastAsia="仿宋_GB2312" w:cs="仿宋_GB2312"/>
          <w:color w:val="000000"/>
          <w:sz w:val="32"/>
          <w:szCs w:val="32"/>
        </w:rPr>
        <w:t>向</w:t>
      </w:r>
      <w:r>
        <w:rPr>
          <w:rFonts w:hint="eastAsia" w:ascii="仿宋_GB2312" w:hAnsi="仿宋_GB2312" w:eastAsia="仿宋_GB2312" w:cs="仿宋_GB2312"/>
          <w:color w:val="000000"/>
          <w:sz w:val="32"/>
          <w:szCs w:val="32"/>
          <w:lang w:val="en-US" w:eastAsia="zh-CN"/>
        </w:rPr>
        <w:t>社会</w:t>
      </w:r>
      <w:r>
        <w:rPr>
          <w:rFonts w:hint="eastAsia" w:ascii="仿宋_GB2312" w:hAnsi="仿宋_GB2312" w:eastAsia="仿宋_GB2312" w:cs="仿宋_GB2312"/>
          <w:color w:val="000000"/>
          <w:sz w:val="32"/>
          <w:szCs w:val="32"/>
        </w:rPr>
        <w:t>公众</w:t>
      </w:r>
      <w:r>
        <w:rPr>
          <w:rFonts w:hint="eastAsia" w:ascii="仿宋_GB2312" w:hAnsi="仿宋_GB2312" w:eastAsia="仿宋_GB2312" w:cs="仿宋_GB2312"/>
          <w:color w:val="000000"/>
          <w:sz w:val="32"/>
          <w:szCs w:val="32"/>
          <w:lang w:val="en-US" w:eastAsia="zh-CN"/>
        </w:rPr>
        <w:t>开放，</w:t>
      </w:r>
      <w:r>
        <w:rPr>
          <w:rFonts w:hint="eastAsia" w:ascii="仿宋_GB2312" w:hAnsi="仿宋_GB2312" w:eastAsia="仿宋_GB2312" w:cs="仿宋_GB2312"/>
          <w:color w:val="000000"/>
          <w:sz w:val="32"/>
          <w:szCs w:val="32"/>
        </w:rPr>
        <w:t>提供陈列展览、展示体验等服务，</w:t>
      </w:r>
      <w:r>
        <w:rPr>
          <w:rFonts w:hint="eastAsia" w:ascii="仿宋_GB2312" w:hAnsi="仿宋_GB2312" w:eastAsia="仿宋_GB2312" w:cs="仿宋_GB2312"/>
          <w:color w:val="000000"/>
          <w:sz w:val="32"/>
          <w:szCs w:val="32"/>
          <w:lang w:val="en-US" w:eastAsia="zh-CN"/>
        </w:rPr>
        <w:t>进行红色文化主题宣传</w:t>
      </w:r>
      <w:r>
        <w:rPr>
          <w:rFonts w:hint="eastAsia" w:ascii="仿宋_GB2312" w:hAnsi="仿宋_GB2312" w:eastAsia="仿宋_GB2312" w:cs="仿宋_GB2312"/>
          <w:color w:val="000000"/>
          <w:sz w:val="32"/>
          <w:szCs w:val="32"/>
        </w:rPr>
        <w:t>。</w:t>
      </w:r>
    </w:p>
    <w:p>
      <w:pPr>
        <w:keepNext w:val="0"/>
        <w:keepLines w:val="0"/>
        <w:pageBreakBefore w:val="0"/>
        <w:widowControl w:val="0"/>
        <w:kinsoku/>
        <w:wordWrap/>
        <w:overflowPunct/>
        <w:topLinePunct w:val="0"/>
        <w:autoSpaceDE/>
        <w:autoSpaceDN/>
        <w:bidi w:val="0"/>
        <w:adjustRightInd w:val="0"/>
        <w:snapToGrid w:val="0"/>
        <w:spacing w:beforeLines="0" w:afterLines="0" w:line="560" w:lineRule="exact"/>
        <w:ind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收藏可移动红色文化遗存的博物馆、纪念馆、档案馆等机构，应当</w:t>
      </w:r>
      <w:r>
        <w:rPr>
          <w:rFonts w:hint="eastAsia" w:ascii="仿宋_GB2312" w:hAnsi="仿宋_GB2312" w:eastAsia="仿宋_GB2312" w:cs="仿宋_GB2312"/>
          <w:color w:val="000000"/>
          <w:sz w:val="32"/>
          <w:szCs w:val="32"/>
          <w:lang w:val="en-US" w:eastAsia="zh-CN"/>
        </w:rPr>
        <w:t>开展主题展览、公益讲座、阅读推广等活动，讲好</w:t>
      </w:r>
      <w:r>
        <w:rPr>
          <w:rFonts w:hint="eastAsia" w:ascii="仿宋_GB2312" w:hAnsi="仿宋_GB2312" w:eastAsia="仿宋_GB2312" w:cs="仿宋_GB2312"/>
          <w:color w:val="000000"/>
          <w:sz w:val="32"/>
          <w:szCs w:val="32"/>
        </w:rPr>
        <w:t>红色文化</w:t>
      </w:r>
      <w:r>
        <w:rPr>
          <w:rFonts w:hint="eastAsia" w:ascii="仿宋_GB2312" w:hAnsi="仿宋_GB2312" w:eastAsia="仿宋_GB2312" w:cs="仿宋_GB2312"/>
          <w:color w:val="000000"/>
          <w:sz w:val="32"/>
          <w:szCs w:val="32"/>
          <w:lang w:val="en-US" w:eastAsia="zh-CN"/>
        </w:rPr>
        <w:t>故事</w:t>
      </w:r>
      <w:r>
        <w:rPr>
          <w:rFonts w:hint="eastAsia" w:ascii="仿宋_GB2312" w:hAnsi="仿宋_GB2312" w:eastAsia="仿宋_GB2312" w:cs="仿宋_GB2312"/>
          <w:color w:val="000000"/>
          <w:sz w:val="32"/>
          <w:szCs w:val="32"/>
        </w:rPr>
        <w:t>，做好红色文化传播。</w:t>
      </w:r>
    </w:p>
    <w:p>
      <w:pPr>
        <w:keepNext w:val="0"/>
        <w:keepLines w:val="0"/>
        <w:pageBreakBefore w:val="0"/>
        <w:widowControl w:val="0"/>
        <w:kinsoku/>
        <w:wordWrap/>
        <w:overflowPunct/>
        <w:topLinePunct w:val="0"/>
        <w:autoSpaceDE/>
        <w:autoSpaceDN/>
        <w:bidi w:val="0"/>
        <w:adjustRightInd w:val="0"/>
        <w:snapToGrid w:val="0"/>
        <w:spacing w:beforeLines="0" w:afterLines="0" w:line="560" w:lineRule="exact"/>
        <w:ind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红色文化遗存的展览展示内容和解说词应当具有准确性、完整性和权威性，内容展示前应当征求党史方志单位的意见</w:t>
      </w:r>
      <w:r>
        <w:rPr>
          <w:rFonts w:hint="eastAsia" w:ascii="黑体" w:hAnsi="黑体" w:eastAsia="黑体" w:cs="黑体"/>
          <w:sz w:val="32"/>
          <w:szCs w:val="32"/>
        </w:rPr>
        <w:t>。</w:t>
      </w:r>
    </w:p>
    <w:p>
      <w:pPr>
        <w:keepNext w:val="0"/>
        <w:keepLines w:val="0"/>
        <w:pageBreakBefore w:val="0"/>
        <w:widowControl w:val="0"/>
        <w:kinsoku/>
        <w:wordWrap/>
        <w:overflowPunct/>
        <w:topLinePunct w:val="0"/>
        <w:autoSpaceDE/>
        <w:autoSpaceDN/>
        <w:bidi w:val="0"/>
        <w:spacing w:beforeLines="0" w:afterLines="0" w:line="560" w:lineRule="exact"/>
        <w:ind w:firstLine="640" w:firstLineChars="200"/>
        <w:rPr>
          <w:rFonts w:ascii="仿宋_GB2312" w:hAnsi="仿宋_GB2312" w:eastAsia="仿宋_GB2312" w:cs="仿宋_GB2312"/>
          <w:color w:val="000000"/>
          <w:kern w:val="2"/>
          <w:sz w:val="32"/>
          <w:szCs w:val="32"/>
        </w:rPr>
      </w:pPr>
      <w:r>
        <w:rPr>
          <w:rFonts w:hint="eastAsia" w:ascii="黑体" w:hAnsi="黑体" w:eastAsia="黑体" w:cs="黑体"/>
          <w:color w:val="000000"/>
          <w:kern w:val="2"/>
          <w:sz w:val="32"/>
          <w:szCs w:val="32"/>
        </w:rPr>
        <w:t>第</w:t>
      </w:r>
      <w:r>
        <w:rPr>
          <w:rFonts w:hint="eastAsia" w:ascii="黑体" w:hAnsi="黑体" w:eastAsia="黑体" w:cs="黑体"/>
          <w:color w:val="000000"/>
          <w:kern w:val="2"/>
          <w:sz w:val="32"/>
          <w:szCs w:val="32"/>
          <w:lang w:val="en-US" w:eastAsia="zh-CN"/>
        </w:rPr>
        <w:t>二十八</w:t>
      </w:r>
      <w:r>
        <w:rPr>
          <w:rFonts w:hint="eastAsia" w:ascii="黑体" w:hAnsi="黑体" w:eastAsia="黑体" w:cs="黑体"/>
          <w:color w:val="000000"/>
          <w:kern w:val="2"/>
          <w:sz w:val="32"/>
          <w:szCs w:val="32"/>
        </w:rPr>
        <w:t>条</w:t>
      </w:r>
      <w:r>
        <w:rPr>
          <w:rFonts w:hint="eastAsia" w:ascii="仿宋_GB2312" w:hAnsi="仿宋_GB2312" w:eastAsia="仿宋_GB2312" w:cs="仿宋_GB2312"/>
          <w:color w:val="000000"/>
          <w:kern w:val="2"/>
          <w:sz w:val="32"/>
          <w:szCs w:val="32"/>
        </w:rPr>
        <w:t xml:space="preserve">  鼓励依托不可移</w:t>
      </w:r>
      <w:r>
        <w:rPr>
          <w:rFonts w:hint="eastAsia" w:ascii="仿宋_GB2312" w:hAnsi="仿宋_GB2312" w:eastAsia="仿宋_GB2312" w:cs="仿宋_GB2312"/>
          <w:color w:val="000000"/>
          <w:sz w:val="32"/>
          <w:szCs w:val="32"/>
        </w:rPr>
        <w:t>动红色文化遗存创建</w:t>
      </w:r>
      <w:r>
        <w:rPr>
          <w:rFonts w:hint="eastAsia" w:ascii="仿宋_GB2312" w:hAnsi="仿宋_GB2312" w:eastAsia="仿宋_GB2312" w:cs="仿宋_GB2312"/>
          <w:color w:val="000000"/>
          <w:sz w:val="32"/>
          <w:szCs w:val="32"/>
          <w:lang w:val="en-US" w:eastAsia="zh-CN"/>
        </w:rPr>
        <w:t>新时代文明实践、</w:t>
      </w:r>
      <w:r>
        <w:rPr>
          <w:rFonts w:hint="eastAsia" w:ascii="仿宋_GB2312" w:hAnsi="仿宋_GB2312" w:eastAsia="仿宋_GB2312" w:cs="仿宋_GB2312"/>
          <w:color w:val="000000"/>
          <w:sz w:val="32"/>
          <w:szCs w:val="32"/>
        </w:rPr>
        <w:t>爱国主义教育、党史教育、廉</w:t>
      </w:r>
      <w:r>
        <w:rPr>
          <w:rFonts w:hint="eastAsia" w:ascii="仿宋_GB2312" w:hAnsi="仿宋_GB2312" w:eastAsia="仿宋_GB2312" w:cs="仿宋_GB2312"/>
          <w:color w:val="000000"/>
          <w:kern w:val="2"/>
          <w:sz w:val="32"/>
          <w:szCs w:val="32"/>
        </w:rPr>
        <w:t>政教育、国防教育、学生社会实践等基地，配备教育管理团队，发挥红色文化遗存的社会教育功能。</w:t>
      </w:r>
    </w:p>
    <w:p>
      <w:pPr>
        <w:keepNext w:val="0"/>
        <w:keepLines w:val="0"/>
        <w:pageBreakBefore w:val="0"/>
        <w:widowControl w:val="0"/>
        <w:kinsoku/>
        <w:wordWrap/>
        <w:overflowPunct/>
        <w:topLinePunct w:val="0"/>
        <w:autoSpaceDE/>
        <w:autoSpaceDN/>
        <w:bidi w:val="0"/>
        <w:adjustRightInd w:val="0"/>
        <w:snapToGrid w:val="0"/>
        <w:spacing w:beforeLines="0" w:afterLines="0" w:line="560"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鼓励不可移动红色文化遗存管理单位与国家机关、社会团体、企业事业单位和其他组织建立共建共享机制，为开展</w:t>
      </w:r>
      <w:r>
        <w:rPr>
          <w:rFonts w:hint="eastAsia" w:ascii="仿宋_GB2312" w:hAnsi="仿宋_GB2312" w:eastAsia="仿宋_GB2312" w:cs="仿宋_GB2312"/>
          <w:color w:val="000000"/>
          <w:sz w:val="32"/>
          <w:szCs w:val="32"/>
          <w:lang w:val="en-US" w:eastAsia="zh-CN"/>
        </w:rPr>
        <w:t>红色文化</w:t>
      </w:r>
      <w:r>
        <w:rPr>
          <w:rFonts w:hint="eastAsia" w:ascii="仿宋_GB2312" w:hAnsi="仿宋_GB2312" w:eastAsia="仿宋_GB2312" w:cs="仿宋_GB2312"/>
          <w:color w:val="000000"/>
          <w:sz w:val="32"/>
          <w:szCs w:val="32"/>
        </w:rPr>
        <w:t>教育等活动提供便利。</w:t>
      </w:r>
    </w:p>
    <w:p>
      <w:pPr>
        <w:keepNext w:val="0"/>
        <w:keepLines w:val="0"/>
        <w:pageBreakBefore w:val="0"/>
        <w:widowControl w:val="0"/>
        <w:kinsoku/>
        <w:wordWrap/>
        <w:overflowPunct/>
        <w:topLinePunct w:val="0"/>
        <w:autoSpaceDE/>
        <w:autoSpaceDN/>
        <w:bidi w:val="0"/>
        <w:spacing w:line="560" w:lineRule="exact"/>
        <w:ind w:left="0" w:leftChars="0" w:firstLine="640" w:firstLineChars="200"/>
        <w:jc w:val="both"/>
        <w:rPr>
          <w:rFonts w:hint="eastAsia" w:ascii="仿宋_GB2312" w:hAnsi="仿宋_GB2312" w:eastAsia="仿宋_GB2312" w:cs="仿宋_GB2312"/>
          <w:color w:val="000000"/>
          <w:spacing w:val="0"/>
          <w:kern w:val="2"/>
          <w:sz w:val="32"/>
          <w:szCs w:val="32"/>
          <w:lang w:val="en-US" w:eastAsia="zh-CN" w:bidi="ar-SA"/>
        </w:rPr>
      </w:pPr>
      <w:r>
        <w:rPr>
          <w:rFonts w:hint="eastAsia" w:ascii="黑体" w:hAnsi="黑体" w:eastAsia="黑体" w:cs="黑体"/>
          <w:color w:val="000000"/>
          <w:kern w:val="2"/>
          <w:sz w:val="32"/>
          <w:szCs w:val="32"/>
          <w:lang w:val="en-US" w:eastAsia="zh-CN" w:bidi="ar-SA"/>
        </w:rPr>
        <w:t>第二十九条</w:t>
      </w:r>
      <w:r>
        <w:rPr>
          <w:rFonts w:hint="eastAsia" w:ascii="仿宋_GB2312" w:hAnsi="仿宋_GB2312" w:eastAsia="仿宋_GB2312" w:cs="仿宋_GB2312"/>
          <w:color w:val="000000"/>
          <w:kern w:val="2"/>
          <w:sz w:val="32"/>
          <w:szCs w:val="32"/>
          <w:lang w:val="en-US" w:eastAsia="zh-CN" w:bidi="ar-SA"/>
        </w:rPr>
        <w:t xml:space="preserve">  </w:t>
      </w:r>
      <w:r>
        <w:rPr>
          <w:rFonts w:hint="eastAsia" w:ascii="仿宋_GB2312" w:hAnsi="仿宋_GB2312" w:eastAsia="仿宋_GB2312" w:cs="仿宋_GB2312"/>
          <w:color w:val="000000"/>
          <w:spacing w:val="0"/>
          <w:kern w:val="2"/>
          <w:sz w:val="32"/>
          <w:szCs w:val="32"/>
          <w:lang w:val="en-US" w:eastAsia="zh-CN" w:bidi="ar-SA"/>
        </w:rPr>
        <w:t>国家机关、事业单位和国有企业可以利用红色文化遗存开展红色主题教育活动。干部教育培训机构应当将红色主题教育纳入教学课程，利用红色文化遗存开展现场教学、主题教育等教学活动。</w:t>
      </w:r>
    </w:p>
    <w:p>
      <w:pPr>
        <w:keepNext w:val="0"/>
        <w:keepLines w:val="0"/>
        <w:pageBreakBefore w:val="0"/>
        <w:widowControl w:val="0"/>
        <w:kinsoku/>
        <w:wordWrap/>
        <w:overflowPunct/>
        <w:topLinePunct w:val="0"/>
        <w:autoSpaceDE/>
        <w:autoSpaceDN/>
        <w:bidi w:val="0"/>
        <w:adjustRightInd w:val="0"/>
        <w:snapToGrid w:val="0"/>
        <w:spacing w:beforeLines="0" w:afterLines="0" w:line="560" w:lineRule="exact"/>
        <w:ind w:firstLine="640" w:firstLineChars="200"/>
        <w:rPr>
          <w:rFonts w:ascii="仿宋_GB2312" w:hAnsi="仿宋_GB2312" w:eastAsia="仿宋_GB2312" w:cs="仿宋_GB2312"/>
          <w:color w:val="000000"/>
          <w:sz w:val="32"/>
          <w:szCs w:val="32"/>
        </w:rPr>
      </w:pPr>
      <w:r>
        <w:rPr>
          <w:rFonts w:hint="eastAsia" w:ascii="黑体" w:hAnsi="黑体" w:eastAsia="黑体" w:cs="黑体"/>
          <w:color w:val="000000"/>
          <w:sz w:val="32"/>
          <w:szCs w:val="32"/>
        </w:rPr>
        <w:t>第</w:t>
      </w:r>
      <w:r>
        <w:rPr>
          <w:rFonts w:hint="eastAsia" w:ascii="黑体" w:hAnsi="黑体" w:eastAsia="黑体" w:cs="黑体"/>
          <w:color w:val="000000"/>
          <w:sz w:val="32"/>
          <w:szCs w:val="32"/>
          <w:lang w:val="en-US" w:eastAsia="zh-CN"/>
        </w:rPr>
        <w:t>三十</w:t>
      </w:r>
      <w:r>
        <w:rPr>
          <w:rFonts w:hint="eastAsia" w:ascii="黑体" w:hAnsi="黑体" w:eastAsia="黑体" w:cs="黑体"/>
          <w:color w:val="000000"/>
          <w:sz w:val="32"/>
          <w:szCs w:val="32"/>
        </w:rPr>
        <w:t>条</w:t>
      </w:r>
      <w:r>
        <w:rPr>
          <w:rFonts w:ascii="黑体" w:hAnsi="黑体" w:eastAsia="黑体" w:cs="黑体"/>
          <w:color w:val="000000"/>
          <w:sz w:val="32"/>
          <w:szCs w:val="32"/>
        </w:rPr>
        <w:t xml:space="preserve">  </w:t>
      </w:r>
      <w:r>
        <w:rPr>
          <w:rFonts w:hint="eastAsia" w:ascii="仿宋_GB2312" w:hAnsi="仿宋_GB2312" w:eastAsia="仿宋_GB2312" w:cs="仿宋_GB2312"/>
          <w:color w:val="000000"/>
          <w:sz w:val="32"/>
          <w:szCs w:val="32"/>
        </w:rPr>
        <w:t>县级以上地方人民政府应当将不可移动红色文化遗存利用纳入本行政区域旅游发展规划，完善基础设施，发展红色旅游。</w:t>
      </w:r>
    </w:p>
    <w:p>
      <w:pPr>
        <w:keepNext w:val="0"/>
        <w:keepLines w:val="0"/>
        <w:pageBreakBefore w:val="0"/>
        <w:widowControl w:val="0"/>
        <w:kinsoku/>
        <w:wordWrap/>
        <w:overflowPunct/>
        <w:topLinePunct w:val="0"/>
        <w:autoSpaceDE/>
        <w:autoSpaceDN/>
        <w:bidi w:val="0"/>
        <w:adjustRightInd w:val="0"/>
        <w:snapToGrid w:val="0"/>
        <w:spacing w:beforeLines="0" w:afterLines="0" w:line="560"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县级以上地方人民政府文化和旅游部门应当会同有关部门，根据旅游发展规划，指导和支持旅游经营者结合红色文化遗存特点，加强红色文化遗存保护利用，开发、推广具有</w:t>
      </w:r>
      <w:r>
        <w:rPr>
          <w:rFonts w:hint="eastAsia" w:ascii="仿宋_GB2312" w:hAnsi="仿宋_GB2312" w:eastAsia="仿宋_GB2312" w:cs="仿宋_GB2312"/>
          <w:color w:val="000000"/>
          <w:sz w:val="32"/>
          <w:szCs w:val="32"/>
          <w:lang w:val="en-US" w:eastAsia="zh-CN"/>
        </w:rPr>
        <w:t>当地</w:t>
      </w:r>
      <w:r>
        <w:rPr>
          <w:rFonts w:hint="eastAsia" w:ascii="仿宋_GB2312" w:hAnsi="仿宋_GB2312" w:eastAsia="仿宋_GB2312" w:cs="仿宋_GB2312"/>
          <w:color w:val="000000"/>
          <w:sz w:val="32"/>
          <w:szCs w:val="32"/>
        </w:rPr>
        <w:t>特色的</w:t>
      </w:r>
      <w:r>
        <w:rPr>
          <w:rFonts w:hint="eastAsia" w:ascii="仿宋_GB2312" w:hAnsi="仿宋_GB2312" w:eastAsia="仿宋_GB2312" w:cs="仿宋_GB2312"/>
          <w:color w:val="000000"/>
          <w:sz w:val="32"/>
          <w:szCs w:val="32"/>
          <w:lang w:eastAsia="zh-CN"/>
        </w:rPr>
        <w:t>红色</w:t>
      </w:r>
      <w:r>
        <w:rPr>
          <w:rFonts w:hint="eastAsia" w:ascii="仿宋_GB2312" w:hAnsi="仿宋_GB2312" w:eastAsia="仿宋_GB2312" w:cs="仿宋_GB2312"/>
          <w:color w:val="000000"/>
          <w:sz w:val="32"/>
          <w:szCs w:val="32"/>
        </w:rPr>
        <w:t>旅游线路、旅游产品</w:t>
      </w:r>
      <w:r>
        <w:rPr>
          <w:rFonts w:hint="eastAsia" w:ascii="仿宋_GB2312" w:hAnsi="仿宋_GB2312" w:eastAsia="仿宋_GB2312" w:cs="仿宋_GB2312"/>
          <w:color w:val="000000"/>
          <w:sz w:val="32"/>
          <w:szCs w:val="32"/>
          <w:lang w:eastAsia="zh-CN"/>
        </w:rPr>
        <w:t>，培育红色旅游品牌</w:t>
      </w:r>
      <w:r>
        <w:rPr>
          <w:rFonts w:hint="eastAsia" w:ascii="仿宋_GB2312" w:hAnsi="仿宋_GB2312" w:eastAsia="仿宋_GB2312" w:cs="仿宋_GB2312"/>
          <w:color w:val="000000"/>
          <w:sz w:val="32"/>
          <w:szCs w:val="32"/>
        </w:rPr>
        <w:t>。</w:t>
      </w:r>
    </w:p>
    <w:p>
      <w:pPr>
        <w:keepNext w:val="0"/>
        <w:keepLines w:val="0"/>
        <w:pageBreakBefore w:val="0"/>
        <w:widowControl w:val="0"/>
        <w:kinsoku/>
        <w:wordWrap/>
        <w:overflowPunct/>
        <w:topLinePunct w:val="0"/>
        <w:autoSpaceDE/>
        <w:autoSpaceDN/>
        <w:bidi w:val="0"/>
        <w:adjustRightInd/>
        <w:snapToGrid/>
        <w:spacing w:before="157" w:beforeLines="50" w:after="157" w:afterLines="50" w:line="560" w:lineRule="exact"/>
        <w:jc w:val="center"/>
        <w:textAlignment w:val="auto"/>
        <w:rPr>
          <w:rFonts w:ascii="仿宋_GB2312" w:hAnsi="仿宋_GB2312" w:eastAsia="仿宋_GB2312" w:cs="仿宋_GB2312"/>
          <w:bCs/>
          <w:color w:val="000000"/>
          <w:sz w:val="32"/>
          <w:szCs w:val="32"/>
        </w:rPr>
      </w:pPr>
      <w:r>
        <w:rPr>
          <w:rFonts w:hint="eastAsia" w:ascii="黑体" w:hAnsi="黑体" w:eastAsia="黑体" w:cs="黑体"/>
          <w:color w:val="000000"/>
          <w:kern w:val="2"/>
          <w:sz w:val="32"/>
          <w:szCs w:val="32"/>
          <w:lang w:eastAsia="zh-CN"/>
        </w:rPr>
        <w:t>第五章</w:t>
      </w:r>
      <w:r>
        <w:rPr>
          <w:rFonts w:hint="eastAsia" w:ascii="黑体" w:hAnsi="黑体" w:eastAsia="黑体" w:cs="黑体"/>
          <w:color w:val="000000"/>
          <w:kern w:val="2"/>
          <w:sz w:val="32"/>
          <w:szCs w:val="32"/>
          <w:lang w:val="en-US" w:eastAsia="zh-CN"/>
        </w:rPr>
        <w:t xml:space="preserve">  </w:t>
      </w:r>
      <w:r>
        <w:rPr>
          <w:rFonts w:hint="eastAsia" w:ascii="黑体" w:hAnsi="黑体" w:eastAsia="黑体" w:cs="黑体"/>
          <w:color w:val="000000"/>
          <w:sz w:val="32"/>
          <w:szCs w:val="32"/>
        </w:rPr>
        <w:t>法律责任</w:t>
      </w:r>
    </w:p>
    <w:p>
      <w:pPr>
        <w:keepNext w:val="0"/>
        <w:keepLines w:val="0"/>
        <w:pageBreakBefore w:val="0"/>
        <w:widowControl w:val="0"/>
        <w:kinsoku/>
        <w:wordWrap/>
        <w:overflowPunct/>
        <w:topLinePunct w:val="0"/>
        <w:autoSpaceDE/>
        <w:autoSpaceDN/>
        <w:bidi w:val="0"/>
        <w:adjustRightInd w:val="0"/>
        <w:snapToGrid w:val="0"/>
        <w:spacing w:beforeLines="0" w:afterLines="0" w:line="560" w:lineRule="exact"/>
        <w:ind w:firstLine="640" w:firstLineChars="200"/>
        <w:rPr>
          <w:rFonts w:ascii="仿宋_GB2312" w:hAnsi="仿宋_GB2312" w:eastAsia="仿宋_GB2312" w:cs="仿宋_GB2312"/>
          <w:color w:val="000000"/>
          <w:sz w:val="32"/>
          <w:szCs w:val="32"/>
        </w:rPr>
      </w:pPr>
      <w:r>
        <w:rPr>
          <w:rFonts w:hint="eastAsia" w:ascii="黑体" w:hAnsi="黑体" w:eastAsia="黑体" w:cs="黑体"/>
          <w:bCs/>
          <w:color w:val="000000"/>
          <w:sz w:val="32"/>
          <w:szCs w:val="32"/>
        </w:rPr>
        <w:t>第</w:t>
      </w:r>
      <w:r>
        <w:rPr>
          <w:rFonts w:hint="eastAsia" w:ascii="黑体" w:hAnsi="黑体" w:eastAsia="黑体" w:cs="黑体"/>
          <w:bCs/>
          <w:color w:val="000000"/>
          <w:sz w:val="32"/>
          <w:szCs w:val="32"/>
          <w:lang w:val="en-US" w:eastAsia="zh-CN"/>
        </w:rPr>
        <w:t>三十一</w:t>
      </w:r>
      <w:r>
        <w:rPr>
          <w:rFonts w:hint="eastAsia" w:ascii="黑体" w:hAnsi="黑体" w:eastAsia="黑体" w:cs="黑体"/>
          <w:bCs/>
          <w:color w:val="000000"/>
          <w:sz w:val="32"/>
          <w:szCs w:val="32"/>
        </w:rPr>
        <w:t>条</w:t>
      </w:r>
      <w:r>
        <w:rPr>
          <w:rFonts w:ascii="黑体" w:hAnsi="黑体" w:eastAsia="黑体" w:cs="黑体"/>
          <w:bCs/>
          <w:color w:val="000000"/>
          <w:sz w:val="32"/>
          <w:szCs w:val="32"/>
        </w:rPr>
        <w:t xml:space="preserve">  </w:t>
      </w:r>
      <w:r>
        <w:rPr>
          <w:rFonts w:hint="eastAsia" w:ascii="仿宋_GB2312" w:hAnsi="仿宋_GB2312" w:eastAsia="仿宋_GB2312" w:cs="仿宋_GB2312"/>
          <w:color w:val="000000"/>
          <w:sz w:val="32"/>
          <w:szCs w:val="32"/>
        </w:rPr>
        <w:t>违反本条例规定的行为，法律、行政法规已有法律责任规定的，从其规定。</w:t>
      </w:r>
    </w:p>
    <w:p>
      <w:pPr>
        <w:keepNext w:val="0"/>
        <w:keepLines w:val="0"/>
        <w:pageBreakBefore w:val="0"/>
        <w:widowControl w:val="0"/>
        <w:kinsoku/>
        <w:wordWrap/>
        <w:overflowPunct/>
        <w:topLinePunct w:val="0"/>
        <w:autoSpaceDE/>
        <w:autoSpaceDN/>
        <w:bidi w:val="0"/>
        <w:adjustRightInd w:val="0"/>
        <w:snapToGrid w:val="0"/>
        <w:spacing w:beforeLines="0" w:afterLines="0" w:line="560" w:lineRule="exact"/>
        <w:ind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w:t>
      </w:r>
      <w:r>
        <w:rPr>
          <w:rFonts w:hint="eastAsia" w:ascii="黑体" w:hAnsi="黑体" w:eastAsia="黑体" w:cs="黑体"/>
          <w:color w:val="000000"/>
          <w:sz w:val="32"/>
          <w:szCs w:val="32"/>
          <w:lang w:val="en-US" w:eastAsia="zh-CN"/>
        </w:rPr>
        <w:t>三十二</w:t>
      </w:r>
      <w:r>
        <w:rPr>
          <w:rFonts w:hint="eastAsia" w:ascii="黑体" w:hAnsi="黑体" w:eastAsia="黑体" w:cs="黑体"/>
          <w:color w:val="000000"/>
          <w:sz w:val="32"/>
          <w:szCs w:val="32"/>
        </w:rPr>
        <w:t>条</w:t>
      </w:r>
      <w:r>
        <w:rPr>
          <w:rFonts w:ascii="黑体" w:hAnsi="黑体" w:eastAsia="黑体" w:cs="黑体"/>
          <w:color w:val="000000"/>
          <w:sz w:val="32"/>
          <w:szCs w:val="32"/>
        </w:rPr>
        <w:t xml:space="preserve">  </w:t>
      </w:r>
      <w:r>
        <w:rPr>
          <w:rFonts w:hint="eastAsia" w:ascii="仿宋_GB2312" w:hAnsi="仿宋_GB2312" w:eastAsia="仿宋_GB2312" w:cs="仿宋_GB2312"/>
          <w:color w:val="000000"/>
          <w:sz w:val="32"/>
          <w:szCs w:val="32"/>
        </w:rPr>
        <w:t>违反本条例第二十</w:t>
      </w:r>
      <w:r>
        <w:rPr>
          <w:rFonts w:hint="eastAsia" w:ascii="仿宋_GB2312" w:hAnsi="仿宋_GB2312" w:eastAsia="仿宋_GB2312" w:cs="仿宋_GB2312"/>
          <w:color w:val="000000"/>
          <w:sz w:val="32"/>
          <w:szCs w:val="32"/>
          <w:lang w:val="en-US" w:eastAsia="zh-CN"/>
        </w:rPr>
        <w:t>二</w:t>
      </w:r>
      <w:r>
        <w:rPr>
          <w:rFonts w:hint="eastAsia" w:ascii="仿宋_GB2312" w:hAnsi="仿宋_GB2312" w:eastAsia="仿宋_GB2312" w:cs="仿宋_GB2312"/>
          <w:color w:val="000000"/>
          <w:sz w:val="32"/>
          <w:szCs w:val="32"/>
        </w:rPr>
        <w:t>条第二款第</w:t>
      </w:r>
      <w:r>
        <w:rPr>
          <w:rFonts w:hint="eastAsia" w:ascii="仿宋_GB2312" w:hAnsi="仿宋_GB2312" w:eastAsia="仿宋_GB2312" w:cs="仿宋_GB2312"/>
          <w:color w:val="000000"/>
          <w:sz w:val="32"/>
          <w:szCs w:val="32"/>
          <w:lang w:val="en-US" w:eastAsia="zh-CN"/>
        </w:rPr>
        <w:t>四</w:t>
      </w:r>
      <w:r>
        <w:rPr>
          <w:rFonts w:hint="eastAsia" w:ascii="仿宋_GB2312" w:hAnsi="仿宋_GB2312" w:eastAsia="仿宋_GB2312" w:cs="仿宋_GB2312"/>
          <w:color w:val="000000"/>
          <w:sz w:val="32"/>
          <w:szCs w:val="32"/>
        </w:rPr>
        <w:t>项规定，刻划、涂污</w:t>
      </w:r>
      <w:r>
        <w:rPr>
          <w:rFonts w:hint="eastAsia" w:ascii="仿宋_GB2312" w:hAnsi="仿宋_GB2312" w:eastAsia="仿宋_GB2312" w:cs="仿宋_GB2312"/>
          <w:color w:val="000000"/>
          <w:sz w:val="32"/>
          <w:szCs w:val="32"/>
          <w:lang w:val="en-US" w:eastAsia="zh-CN"/>
        </w:rPr>
        <w:t>或者以其他方式故意损坏不可移动红色文化遗存的</w:t>
      </w:r>
      <w:r>
        <w:rPr>
          <w:rFonts w:hint="eastAsia" w:ascii="仿宋_GB2312" w:hAnsi="仿宋_GB2312" w:eastAsia="仿宋_GB2312" w:cs="仿宋_GB2312"/>
          <w:color w:val="000000"/>
          <w:sz w:val="32"/>
          <w:szCs w:val="32"/>
        </w:rPr>
        <w:t>，由县级以上地方人民政府红色文化遗存管</w:t>
      </w:r>
      <w:r>
        <w:rPr>
          <w:rFonts w:hint="eastAsia" w:ascii="仿宋_GB2312" w:hAnsi="仿宋_GB2312" w:eastAsia="仿宋_GB2312" w:cs="仿宋_GB2312"/>
          <w:color w:val="000000"/>
          <w:sz w:val="32"/>
          <w:szCs w:val="32"/>
          <w:lang w:eastAsia="zh-CN"/>
        </w:rPr>
        <w:t>理</w:t>
      </w:r>
      <w:r>
        <w:rPr>
          <w:rFonts w:hint="eastAsia" w:ascii="仿宋_GB2312" w:hAnsi="仿宋_GB2312" w:eastAsia="仿宋_GB2312" w:cs="仿宋_GB2312"/>
          <w:color w:val="000000"/>
          <w:sz w:val="32"/>
          <w:szCs w:val="32"/>
        </w:rPr>
        <w:t>部门责令限期改正，给予警告</w:t>
      </w: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color w:val="000000"/>
          <w:sz w:val="32"/>
          <w:szCs w:val="32"/>
          <w:lang w:val="en-US" w:eastAsia="zh-CN"/>
        </w:rPr>
        <w:t>逾期未改正的，</w:t>
      </w:r>
      <w:r>
        <w:rPr>
          <w:rFonts w:hint="eastAsia" w:ascii="仿宋_GB2312" w:hAnsi="仿宋_GB2312" w:eastAsia="仿宋_GB2312" w:cs="仿宋_GB2312"/>
          <w:color w:val="000000"/>
          <w:sz w:val="32"/>
          <w:szCs w:val="32"/>
        </w:rPr>
        <w:t>处二百元以上</w:t>
      </w:r>
      <w:r>
        <w:rPr>
          <w:rFonts w:hint="eastAsia" w:ascii="仿宋_GB2312" w:hAnsi="仿宋_GB2312" w:eastAsia="仿宋_GB2312" w:cs="仿宋_GB2312"/>
          <w:color w:val="000000"/>
          <w:sz w:val="32"/>
          <w:szCs w:val="32"/>
          <w:lang w:val="en-US" w:eastAsia="zh-CN"/>
        </w:rPr>
        <w:t>五百</w:t>
      </w:r>
      <w:r>
        <w:rPr>
          <w:rFonts w:hint="eastAsia" w:ascii="仿宋_GB2312" w:hAnsi="仿宋_GB2312" w:eastAsia="仿宋_GB2312" w:cs="仿宋_GB2312"/>
          <w:color w:val="000000"/>
          <w:sz w:val="32"/>
          <w:szCs w:val="32"/>
        </w:rPr>
        <w:t>元以下罚款。</w:t>
      </w:r>
    </w:p>
    <w:p>
      <w:pPr>
        <w:keepNext w:val="0"/>
        <w:keepLines w:val="0"/>
        <w:pageBreakBefore w:val="0"/>
        <w:widowControl w:val="0"/>
        <w:kinsoku/>
        <w:wordWrap/>
        <w:overflowPunct/>
        <w:topLinePunct w:val="0"/>
        <w:autoSpaceDE/>
        <w:autoSpaceDN/>
        <w:bidi w:val="0"/>
        <w:adjustRightInd w:val="0"/>
        <w:snapToGrid w:val="0"/>
        <w:spacing w:beforeLines="0" w:afterLines="0" w:line="560" w:lineRule="exact"/>
        <w:ind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违反本条例第二十</w:t>
      </w:r>
      <w:r>
        <w:rPr>
          <w:rFonts w:hint="eastAsia" w:ascii="仿宋_GB2312" w:hAnsi="仿宋_GB2312" w:eastAsia="仿宋_GB2312" w:cs="仿宋_GB2312"/>
          <w:color w:val="000000"/>
          <w:sz w:val="32"/>
          <w:szCs w:val="32"/>
          <w:lang w:val="en-US" w:eastAsia="zh-CN"/>
        </w:rPr>
        <w:t>二</w:t>
      </w:r>
      <w:r>
        <w:rPr>
          <w:rFonts w:hint="eastAsia" w:ascii="仿宋_GB2312" w:hAnsi="仿宋_GB2312" w:eastAsia="仿宋_GB2312" w:cs="仿宋_GB2312"/>
          <w:color w:val="000000"/>
          <w:sz w:val="32"/>
          <w:szCs w:val="32"/>
        </w:rPr>
        <w:t>条第二款第</w:t>
      </w:r>
      <w:r>
        <w:rPr>
          <w:rFonts w:hint="eastAsia" w:ascii="仿宋_GB2312" w:hAnsi="仿宋_GB2312" w:eastAsia="仿宋_GB2312" w:cs="仿宋_GB2312"/>
          <w:color w:val="000000"/>
          <w:sz w:val="32"/>
          <w:szCs w:val="32"/>
          <w:lang w:val="en-US" w:eastAsia="zh-CN"/>
        </w:rPr>
        <w:t>五</w:t>
      </w:r>
      <w:r>
        <w:rPr>
          <w:rFonts w:hint="eastAsia" w:ascii="仿宋_GB2312" w:hAnsi="仿宋_GB2312" w:eastAsia="仿宋_GB2312" w:cs="仿宋_GB2312"/>
          <w:color w:val="000000"/>
          <w:sz w:val="32"/>
          <w:szCs w:val="32"/>
        </w:rPr>
        <w:t>项规定，损</w:t>
      </w:r>
      <w:r>
        <w:rPr>
          <w:rFonts w:hint="eastAsia" w:ascii="仿宋_GB2312" w:hAnsi="仿宋_GB2312" w:eastAsia="仿宋_GB2312" w:cs="仿宋_GB2312"/>
          <w:color w:val="000000"/>
          <w:sz w:val="32"/>
          <w:szCs w:val="32"/>
          <w:lang w:val="en-US" w:eastAsia="zh-CN"/>
        </w:rPr>
        <w:t>毁</w:t>
      </w:r>
      <w:r>
        <w:rPr>
          <w:rFonts w:hint="eastAsia" w:ascii="仿宋_GB2312" w:hAnsi="仿宋_GB2312" w:eastAsia="仿宋_GB2312" w:cs="仿宋_GB2312"/>
          <w:color w:val="000000"/>
          <w:sz w:val="32"/>
          <w:szCs w:val="32"/>
        </w:rPr>
        <w:t>或者擅自移动、拆除不可移动红色文化遗存保护标志及其他保护设施的，由县级以上地方人民政府红色文化遗存管</w:t>
      </w:r>
      <w:r>
        <w:rPr>
          <w:rFonts w:hint="eastAsia" w:ascii="仿宋_GB2312" w:hAnsi="仿宋_GB2312" w:eastAsia="仿宋_GB2312" w:cs="仿宋_GB2312"/>
          <w:color w:val="000000"/>
          <w:sz w:val="32"/>
          <w:szCs w:val="32"/>
          <w:lang w:eastAsia="zh-CN"/>
        </w:rPr>
        <w:t>理</w:t>
      </w:r>
      <w:r>
        <w:rPr>
          <w:rFonts w:hint="eastAsia" w:ascii="仿宋_GB2312" w:hAnsi="仿宋_GB2312" w:eastAsia="仿宋_GB2312" w:cs="仿宋_GB2312"/>
          <w:color w:val="000000"/>
          <w:sz w:val="32"/>
          <w:szCs w:val="32"/>
        </w:rPr>
        <w:t>部门责令限期改正，给予警告；逾期未改正的，处</w:t>
      </w:r>
      <w:r>
        <w:rPr>
          <w:rFonts w:hint="eastAsia" w:ascii="仿宋_GB2312" w:hAnsi="仿宋_GB2312" w:eastAsia="仿宋_GB2312" w:cs="仿宋_GB2312"/>
          <w:color w:val="000000"/>
          <w:sz w:val="32"/>
          <w:szCs w:val="32"/>
          <w:lang w:val="en-US" w:eastAsia="zh-CN"/>
        </w:rPr>
        <w:t>五</w:t>
      </w:r>
      <w:r>
        <w:rPr>
          <w:rFonts w:hint="eastAsia" w:ascii="仿宋_GB2312" w:hAnsi="仿宋_GB2312" w:eastAsia="仿宋_GB2312" w:cs="仿宋_GB2312"/>
          <w:color w:val="000000"/>
          <w:sz w:val="32"/>
          <w:szCs w:val="32"/>
        </w:rPr>
        <w:t>百元以上二千元以下罚款。</w:t>
      </w:r>
    </w:p>
    <w:p>
      <w:pPr>
        <w:keepNext w:val="0"/>
        <w:keepLines w:val="0"/>
        <w:pageBreakBefore w:val="0"/>
        <w:widowControl w:val="0"/>
        <w:shd w:val="clear" w:color="auto" w:fill="FFFFFF"/>
        <w:kinsoku/>
        <w:wordWrap/>
        <w:overflowPunct/>
        <w:topLinePunct w:val="0"/>
        <w:autoSpaceDE/>
        <w:autoSpaceDN/>
        <w:bidi w:val="0"/>
        <w:adjustRightInd w:val="0"/>
        <w:snapToGrid w:val="0"/>
        <w:spacing w:line="560" w:lineRule="exact"/>
        <w:ind w:left="0" w:leftChars="0" w:right="0" w:rightChars="0" w:firstLine="640" w:firstLineChars="200"/>
        <w:textAlignment w:val="baseline"/>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w:t>
      </w:r>
      <w:r>
        <w:rPr>
          <w:rFonts w:hint="eastAsia" w:ascii="黑体" w:hAnsi="黑体" w:eastAsia="黑体" w:cs="黑体"/>
          <w:color w:val="000000"/>
          <w:sz w:val="32"/>
          <w:szCs w:val="32"/>
          <w:lang w:val="en-US" w:eastAsia="zh-CN"/>
        </w:rPr>
        <w:t>三十三</w:t>
      </w:r>
      <w:r>
        <w:rPr>
          <w:rFonts w:hint="eastAsia" w:ascii="黑体" w:hAnsi="黑体" w:eastAsia="黑体" w:cs="黑体"/>
          <w:color w:val="000000"/>
          <w:sz w:val="32"/>
          <w:szCs w:val="32"/>
        </w:rPr>
        <w:t>条</w:t>
      </w:r>
      <w:r>
        <w:rPr>
          <w:rFonts w:hint="eastAsia" w:ascii="仿宋_GB2312" w:hAnsi="仿宋_GB2312" w:eastAsia="仿宋_GB2312" w:cs="仿宋_GB2312"/>
          <w:color w:val="000000"/>
          <w:sz w:val="32"/>
          <w:szCs w:val="32"/>
        </w:rPr>
        <w:t>　违反本条例第</w:t>
      </w:r>
      <w:r>
        <w:rPr>
          <w:rFonts w:hint="eastAsia" w:ascii="仿宋_GB2312" w:hAnsi="仿宋_GB2312" w:eastAsia="仿宋_GB2312" w:cs="仿宋_GB2312"/>
          <w:color w:val="000000"/>
          <w:sz w:val="32"/>
          <w:szCs w:val="32"/>
          <w:lang w:val="en-US" w:eastAsia="zh-CN"/>
        </w:rPr>
        <w:t>二十五</w:t>
      </w:r>
      <w:r>
        <w:rPr>
          <w:rFonts w:hint="eastAsia" w:ascii="仿宋_GB2312" w:hAnsi="仿宋_GB2312" w:eastAsia="仿宋_GB2312" w:cs="仿宋_GB2312"/>
          <w:color w:val="000000"/>
          <w:sz w:val="32"/>
          <w:szCs w:val="32"/>
        </w:rPr>
        <w:t>条第二款规定，歪曲、贬损、丑化红色文化遗存的，由县级以上地方人民政府红色文化遗存管</w:t>
      </w:r>
      <w:r>
        <w:rPr>
          <w:rFonts w:hint="eastAsia" w:ascii="仿宋_GB2312" w:hAnsi="仿宋_GB2312" w:eastAsia="仿宋_GB2312" w:cs="仿宋_GB2312"/>
          <w:color w:val="000000"/>
          <w:sz w:val="32"/>
          <w:szCs w:val="32"/>
          <w:lang w:eastAsia="zh-CN"/>
        </w:rPr>
        <w:t>理</w:t>
      </w:r>
      <w:r>
        <w:rPr>
          <w:rFonts w:hint="eastAsia" w:ascii="仿宋_GB2312" w:hAnsi="仿宋_GB2312" w:eastAsia="仿宋_GB2312" w:cs="仿宋_GB2312"/>
          <w:color w:val="000000"/>
          <w:sz w:val="32"/>
          <w:szCs w:val="32"/>
        </w:rPr>
        <w:t>部门责令停止违法行为、限期消除影响，给予警告；</w:t>
      </w:r>
      <w:r>
        <w:rPr>
          <w:rFonts w:hint="eastAsia" w:ascii="仿宋_GB2312" w:hAnsi="仿宋_GB2312" w:eastAsia="仿宋_GB2312" w:cs="仿宋_GB2312"/>
          <w:color w:val="000000"/>
          <w:sz w:val="32"/>
          <w:szCs w:val="32"/>
          <w:lang w:eastAsia="zh-CN"/>
        </w:rPr>
        <w:t>构成违反治安管理行为的，由公安机关依法给予处罚；构成犯罪的，依法追究刑事责任</w:t>
      </w:r>
      <w:r>
        <w:rPr>
          <w:rFonts w:hint="eastAsia" w:ascii="仿宋_GB2312" w:hAnsi="仿宋_GB2312" w:eastAsia="仿宋_GB2312" w:cs="仿宋_GB2312"/>
          <w:color w:val="000000"/>
          <w:sz w:val="32"/>
          <w:szCs w:val="32"/>
        </w:rPr>
        <w:t>。</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outlineLvl w:val="9"/>
        <w:rPr>
          <w:rFonts w:ascii="仿宋_GB2312" w:hAnsi="仿宋_GB2312" w:eastAsia="仿宋_GB2312" w:cs="仿宋_GB2312"/>
          <w:color w:val="000000"/>
          <w:sz w:val="32"/>
          <w:szCs w:val="32"/>
        </w:rPr>
      </w:pPr>
      <w:r>
        <w:rPr>
          <w:rFonts w:hint="eastAsia" w:ascii="黑体" w:hAnsi="黑体" w:eastAsia="黑体" w:cs="黑体"/>
          <w:color w:val="000000"/>
          <w:sz w:val="32"/>
          <w:szCs w:val="32"/>
        </w:rPr>
        <w:t>第</w:t>
      </w:r>
      <w:r>
        <w:rPr>
          <w:rFonts w:hint="eastAsia" w:ascii="黑体" w:hAnsi="黑体" w:eastAsia="黑体" w:cs="黑体"/>
          <w:color w:val="000000"/>
          <w:sz w:val="32"/>
          <w:szCs w:val="32"/>
          <w:lang w:val="en-US" w:eastAsia="zh-CN"/>
        </w:rPr>
        <w:t>三十四</w:t>
      </w:r>
      <w:r>
        <w:rPr>
          <w:rFonts w:hint="eastAsia" w:ascii="黑体" w:hAnsi="黑体" w:eastAsia="黑体" w:cs="黑体"/>
          <w:color w:val="000000"/>
          <w:sz w:val="32"/>
          <w:szCs w:val="32"/>
        </w:rPr>
        <w:t>条</w:t>
      </w:r>
      <w:r>
        <w:rPr>
          <w:rFonts w:ascii="黑体" w:hAnsi="黑体" w:eastAsia="黑体" w:cs="黑体"/>
          <w:color w:val="000000"/>
          <w:sz w:val="32"/>
          <w:szCs w:val="32"/>
        </w:rPr>
        <w:t xml:space="preserve">  </w:t>
      </w:r>
      <w:r>
        <w:rPr>
          <w:rFonts w:hint="eastAsia" w:ascii="仿宋_GB2312" w:hAnsi="仿宋_GB2312" w:eastAsia="仿宋_GB2312" w:cs="仿宋_GB2312"/>
          <w:color w:val="000000"/>
          <w:sz w:val="32"/>
          <w:szCs w:val="32"/>
        </w:rPr>
        <w:t>县级以上地方人民政府红色文化遗存管</w:t>
      </w:r>
      <w:r>
        <w:rPr>
          <w:rFonts w:hint="eastAsia" w:ascii="仿宋_GB2312" w:hAnsi="仿宋_GB2312" w:eastAsia="仿宋_GB2312" w:cs="仿宋_GB2312"/>
          <w:color w:val="000000"/>
          <w:sz w:val="32"/>
          <w:szCs w:val="32"/>
          <w:lang w:eastAsia="zh-CN"/>
        </w:rPr>
        <w:t>理</w:t>
      </w:r>
      <w:r>
        <w:rPr>
          <w:rFonts w:hint="eastAsia" w:ascii="仿宋_GB2312" w:hAnsi="仿宋_GB2312" w:eastAsia="仿宋_GB2312" w:cs="仿宋_GB2312"/>
          <w:color w:val="000000"/>
          <w:sz w:val="32"/>
          <w:szCs w:val="32"/>
        </w:rPr>
        <w:t>部门和其他有关部门及其工作人员违反本条例规定，在红色文化遗存保护工作中滥用职权、玩忽职守、徇私舞弊的，对直接负责的主管人员和其他直接责任人员依法给予处分；构成犯罪的，依法追究刑事责任。</w:t>
      </w:r>
    </w:p>
    <w:p>
      <w:pPr>
        <w:keepNext w:val="0"/>
        <w:keepLines w:val="0"/>
        <w:pageBreakBefore w:val="0"/>
        <w:widowControl w:val="0"/>
        <w:numPr>
          <w:ilvl w:val="0"/>
          <w:numId w:val="0"/>
        </w:numPr>
        <w:kinsoku/>
        <w:wordWrap/>
        <w:overflowPunct/>
        <w:topLinePunct w:val="0"/>
        <w:autoSpaceDE/>
        <w:autoSpaceDN/>
        <w:bidi w:val="0"/>
        <w:adjustRightInd w:val="0"/>
        <w:snapToGrid w:val="0"/>
        <w:spacing w:before="157" w:beforeLines="50" w:after="157" w:afterLines="50" w:line="560" w:lineRule="exact"/>
        <w:ind w:right="0" w:rightChars="0"/>
        <w:jc w:val="center"/>
        <w:textAlignment w:val="auto"/>
        <w:outlineLvl w:val="9"/>
        <w:rPr>
          <w:rFonts w:ascii="仿宋_GB2312" w:hAnsi="仿宋_GB2312" w:eastAsia="仿宋_GB2312" w:cs="仿宋_GB2312"/>
          <w:color w:val="000000"/>
          <w:sz w:val="32"/>
          <w:szCs w:val="32"/>
        </w:rPr>
      </w:pPr>
      <w:r>
        <w:rPr>
          <w:rFonts w:hint="eastAsia" w:ascii="黑体" w:hAnsi="黑体" w:eastAsia="黑体" w:cs="黑体"/>
          <w:color w:val="000000"/>
          <w:sz w:val="32"/>
          <w:szCs w:val="32"/>
          <w:lang w:eastAsia="zh-CN"/>
        </w:rPr>
        <w:t>第六章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附</w:t>
      </w:r>
      <w:r>
        <w:rPr>
          <w:rFonts w:ascii="黑体" w:hAnsi="黑体" w:eastAsia="黑体" w:cs="黑体"/>
          <w:color w:val="000000"/>
          <w:sz w:val="32"/>
          <w:szCs w:val="32"/>
        </w:rPr>
        <w:t xml:space="preserve">    </w:t>
      </w:r>
      <w:r>
        <w:rPr>
          <w:rFonts w:hint="eastAsia" w:ascii="黑体" w:hAnsi="黑体" w:eastAsia="黑体" w:cs="黑体"/>
          <w:color w:val="000000"/>
          <w:sz w:val="32"/>
          <w:szCs w:val="32"/>
        </w:rPr>
        <w:t>则</w:t>
      </w:r>
    </w:p>
    <w:p>
      <w:pPr>
        <w:pStyle w:val="21"/>
        <w:keepNext w:val="0"/>
        <w:keepLines w:val="0"/>
        <w:pageBreakBefore w:val="0"/>
        <w:widowControl w:val="0"/>
        <w:kinsoku/>
        <w:wordWrap/>
        <w:overflowPunct/>
        <w:topLinePunct w:val="0"/>
        <w:autoSpaceDE/>
        <w:autoSpaceDN/>
        <w:bidi w:val="0"/>
        <w:adjustRightInd w:val="0"/>
        <w:snapToGrid/>
        <w:spacing w:line="560" w:lineRule="exact"/>
        <w:ind w:right="0" w:rightChars="0" w:firstLine="640" w:firstLineChars="200"/>
        <w:jc w:val="both"/>
        <w:textAlignment w:val="auto"/>
        <w:rPr>
          <w:rFonts w:hint="default" w:ascii="黑体" w:hAnsi="黑体" w:eastAsia="黑体" w:cs="黑体"/>
          <w:sz w:val="32"/>
          <w:szCs w:val="32"/>
          <w:lang w:val="en-US" w:eastAsia="zh-CN"/>
        </w:rPr>
      </w:pPr>
      <w:r>
        <w:rPr>
          <w:rFonts w:hint="eastAsia" w:ascii="黑体" w:hAnsi="黑体" w:eastAsia="黑体" w:cs="黑体"/>
          <w:color w:val="000000"/>
          <w:sz w:val="32"/>
          <w:szCs w:val="32"/>
        </w:rPr>
        <w:t>第</w:t>
      </w:r>
      <w:r>
        <w:rPr>
          <w:rFonts w:hint="eastAsia" w:ascii="黑体" w:hAnsi="黑体" w:eastAsia="黑体" w:cs="黑体"/>
          <w:color w:val="000000"/>
          <w:sz w:val="32"/>
          <w:szCs w:val="32"/>
          <w:lang w:val="en-US" w:eastAsia="zh-CN"/>
        </w:rPr>
        <w:t>三十五</w:t>
      </w:r>
      <w:r>
        <w:rPr>
          <w:rFonts w:hint="eastAsia" w:ascii="黑体" w:hAnsi="黑体" w:eastAsia="黑体" w:cs="黑体"/>
          <w:bCs/>
          <w:color w:val="000000"/>
          <w:sz w:val="32"/>
          <w:szCs w:val="32"/>
          <w:shd w:val="clear" w:color="auto" w:fill="auto"/>
          <w:lang w:val="en-US" w:eastAsia="zh-CN"/>
        </w:rPr>
        <w:t>条</w:t>
      </w:r>
      <w:r>
        <w:rPr>
          <w:rFonts w:ascii="黑体" w:hAnsi="黑体" w:eastAsia="黑体" w:cs="黑体"/>
          <w:color w:val="000000"/>
          <w:sz w:val="32"/>
          <w:szCs w:val="32"/>
        </w:rPr>
        <w:t xml:space="preserve">  </w:t>
      </w:r>
      <w:r>
        <w:rPr>
          <w:rFonts w:hint="eastAsia" w:ascii="仿宋_GB2312" w:hAnsi="仿宋_GB2312" w:eastAsia="仿宋_GB2312" w:cs="仿宋_GB2312"/>
          <w:color w:val="000000"/>
          <w:sz w:val="32"/>
          <w:szCs w:val="32"/>
        </w:rPr>
        <w:t>本条例自</w:t>
      </w:r>
      <w:r>
        <w:rPr>
          <w:rFonts w:hint="eastAsia" w:ascii="仿宋_GB2312" w:hAnsi="仿宋_GB2312" w:eastAsia="宋体" w:cs="仿宋_GB2312"/>
          <w:color w:val="000000"/>
          <w:sz w:val="32"/>
          <w:szCs w:val="32"/>
          <w:lang w:val="en-US" w:eastAsia="zh-CN"/>
        </w:rPr>
        <w:t>2023</w:t>
      </w:r>
      <w:r>
        <w:rPr>
          <w:rFonts w:hint="eastAsia" w:ascii="仿宋_GB2312" w:hAnsi="仿宋_GB2312" w:eastAsia="仿宋_GB2312" w:cs="仿宋_GB2312"/>
          <w:color w:val="000000"/>
          <w:sz w:val="32"/>
          <w:szCs w:val="32"/>
        </w:rPr>
        <w:t>年</w:t>
      </w:r>
      <w:r>
        <w:rPr>
          <w:rFonts w:hint="eastAsia" w:ascii="仿宋_GB2312" w:hAnsi="仿宋_GB2312" w:eastAsia="宋体" w:cs="仿宋_GB2312"/>
          <w:color w:val="000000"/>
          <w:sz w:val="32"/>
          <w:szCs w:val="32"/>
          <w:lang w:val="en-US" w:eastAsia="zh-CN"/>
        </w:rPr>
        <w:t>1</w:t>
      </w:r>
      <w:r>
        <w:rPr>
          <w:rFonts w:hint="eastAsia" w:ascii="仿宋_GB2312" w:hAnsi="仿宋_GB2312" w:eastAsia="仿宋_GB2312" w:cs="仿宋_GB2312"/>
          <w:color w:val="000000"/>
          <w:sz w:val="32"/>
          <w:szCs w:val="32"/>
        </w:rPr>
        <w:t>月</w:t>
      </w:r>
      <w:r>
        <w:rPr>
          <w:rFonts w:hint="eastAsia" w:ascii="仿宋_GB2312" w:hAnsi="仿宋_GB2312" w:eastAsia="宋体" w:cs="仿宋_GB2312"/>
          <w:color w:val="000000"/>
          <w:sz w:val="32"/>
          <w:szCs w:val="32"/>
          <w:lang w:val="en-US" w:eastAsia="zh-CN"/>
        </w:rPr>
        <w:t>1</w:t>
      </w:r>
      <w:r>
        <w:rPr>
          <w:rFonts w:hint="eastAsia" w:ascii="仿宋_GB2312" w:hAnsi="仿宋_GB2312" w:eastAsia="仿宋_GB2312" w:cs="仿宋_GB2312"/>
          <w:color w:val="000000"/>
          <w:sz w:val="32"/>
          <w:szCs w:val="32"/>
        </w:rPr>
        <w:t>日起施行</w:t>
      </w:r>
      <w:r>
        <w:rPr>
          <w:rFonts w:hint="eastAsia" w:ascii="仿宋_GB2312" w:hAnsi="仿宋_GB2312" w:eastAsia="宋体" w:cs="仿宋_GB2312"/>
          <w:color w:val="000000"/>
          <w:sz w:val="32"/>
          <w:szCs w:val="32"/>
          <w:lang w:eastAsia="zh-CN"/>
        </w:rPr>
        <w:t>。</w:t>
      </w:r>
    </w:p>
    <w:sectPr>
      <w:pgSz w:w="11906" w:h="16838"/>
      <w:pgMar w:top="2098" w:right="1531" w:bottom="2098" w:left="1531" w:header="851" w:footer="1701" w:gutter="0"/>
      <w:pgBorders>
        <w:top w:val="none" w:sz="0" w:space="0"/>
        <w:left w:val="none" w:sz="0" w:space="0"/>
        <w:bottom w:val="none" w:sz="0" w:space="0"/>
        <w:right w:val="none" w:sz="0" w:space="0"/>
      </w:pgBorders>
      <w:pgNumType w:fmt="decimal" w:start="32"/>
      <w:cols w:space="720" w:num="1"/>
      <w:rtlGutter w:val="0"/>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00007A87" w:usb1="80000000" w:usb2="00000008"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Garamond">
    <w:panose1 w:val="02020404030301010803"/>
    <w:charset w:val="00"/>
    <w:family w:val="roman"/>
    <w:pitch w:val="default"/>
    <w:sig w:usb0="00000287" w:usb1="00000000" w:usb2="00000000" w:usb3="00000000" w:csb0="0000009F" w:csb1="DFD70000"/>
  </w:font>
  <w:font w:name="仿宋">
    <w:panose1 w:val="02010609060101010101"/>
    <w:charset w:val="86"/>
    <w:family w:val="modern"/>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方正仿宋_GBK">
    <w:altName w:val="微软雅黑"/>
    <w:panose1 w:val="02000000000000000000"/>
    <w:charset w:val="86"/>
    <w:family w:val="script"/>
    <w:pitch w:val="default"/>
    <w:sig w:usb0="00000000" w:usb1="00000000" w:usb2="00000000" w:usb3="00000000" w:csb0="00040000" w:csb1="00000000"/>
  </w:font>
  <w:font w:name="方正仿宋简体">
    <w:panose1 w:val="02010601030101010101"/>
    <w:charset w:val="86"/>
    <w:family w:val="auto"/>
    <w:pitch w:val="default"/>
    <w:sig w:usb0="00000001" w:usb1="080E0000" w:usb2="00000000" w:usb3="00000000" w:csb0="00040000" w:csb1="00000000"/>
  </w:font>
  <w:font w:name="方正黑体_GBK">
    <w:altName w:val="微软雅黑"/>
    <w:panose1 w:val="02000000000000000000"/>
    <w:charset w:val="86"/>
    <w:family w:val="auto"/>
    <w:pitch w:val="default"/>
    <w:sig w:usb0="00000000" w:usb1="00000000" w:usb2="00000000" w:usb3="00000000" w:csb0="00040000" w:csb1="00000000"/>
  </w:font>
  <w:font w:name="方正小标宋_GBK">
    <w:altName w:val="微软雅黑"/>
    <w:panose1 w:val="03000509000000000000"/>
    <w:charset w:val="86"/>
    <w:family w:val="auto"/>
    <w:pitch w:val="default"/>
    <w:sig w:usb0="00000000" w:usb1="00000000" w:usb2="00000000" w:usb3="00000000" w:csb0="00040000" w:csb1="00000000"/>
  </w:font>
  <w:font w:name="方正楷体_GBK">
    <w:altName w:val="微软雅黑"/>
    <w:panose1 w:val="02000000000000000000"/>
    <w:charset w:val="86"/>
    <w:family w:val="script"/>
    <w:pitch w:val="default"/>
    <w:sig w:usb0="00000000" w:usb1="00000000" w:usb2="00000000" w:usb3="00000000" w:csb0="00040000" w:csb1="00000000"/>
  </w:font>
  <w:font w:name="方正书宋_GBK">
    <w:altName w:val="微软雅黑"/>
    <w:panose1 w:val="02000000000000000000"/>
    <w:charset w:val="86"/>
    <w:family w:val="script"/>
    <w:pitch w:val="default"/>
    <w:sig w:usb0="00000000" w:usb1="00000000" w:usb2="00000000" w:usb3="00000000" w:csb0="00040000" w:csb1="00000000"/>
  </w:font>
  <w:font w:name="Times-Roman">
    <w:altName w:val="Times New Roman"/>
    <w:panose1 w:val="00000000000000000000"/>
    <w:charset w:val="00"/>
    <w:family w:val="auto"/>
    <w:pitch w:val="default"/>
    <w:sig w:usb0="00000000" w:usb1="00000000" w:usb2="00000000" w:usb3="00000000" w:csb0="00040001" w:csb1="00000000"/>
  </w:font>
  <w:font w:name="楷体">
    <w:panose1 w:val="02010609060101010101"/>
    <w:charset w:val="86"/>
    <w:family w:val="auto"/>
    <w:pitch w:val="default"/>
    <w:sig w:usb0="800002BF" w:usb1="38CF7CFA" w:usb2="00000016" w:usb3="00000000" w:csb0="00040001" w:csb1="00000000"/>
  </w:font>
  <w:font w:name="华文仿宋">
    <w:altName w:val="仿宋"/>
    <w:panose1 w:val="02010600040101010101"/>
    <w:charset w:val="00"/>
    <w:family w:val="auto"/>
    <w:pitch w:val="default"/>
    <w:sig w:usb0="00000000" w:usb1="00000000" w:usb2="00000000" w:usb3="00000000" w:csb0="0004009F" w:csb1="DFD70000"/>
  </w:font>
  <w:font w:name="DejaVu Sans">
    <w:altName w:val="Segoe Print"/>
    <w:panose1 w:val="020B0603030804020204"/>
    <w:charset w:val="00"/>
    <w:family w:val="auto"/>
    <w:pitch w:val="default"/>
    <w:sig w:usb0="00000000" w:usb1="00000000" w:usb2="0A246029" w:usb3="0400200C" w:csb0="600001FF" w:csb1="DFFF0000"/>
  </w:font>
  <w:font w:name="Noto Serif Bengali">
    <w:altName w:val="Segoe Print"/>
    <w:panose1 w:val="02020502040504020204"/>
    <w:charset w:val="00"/>
    <w:family w:val="auto"/>
    <w:pitch w:val="default"/>
    <w:sig w:usb0="00000000" w:usb1="00000000" w:usb2="00000000" w:usb3="00000000" w:csb0="00000001" w:csb1="00000000"/>
  </w:font>
  <w:font w:name="微软雅黑">
    <w:panose1 w:val="020B0503020204020204"/>
    <w:charset w:val="86"/>
    <w:family w:val="auto"/>
    <w:pitch w:val="default"/>
    <w:sig w:usb0="80000287" w:usb1="280F3C52" w:usb2="00000016" w:usb3="00000000" w:csb0="0004001F" w:csb1="00000000"/>
  </w:font>
  <w:font w:name="方正宋体S-超大字符集">
    <w:altName w:val="宋体"/>
    <w:panose1 w:val="02000000000000000000"/>
    <w:charset w:val="86"/>
    <w:family w:val="auto"/>
    <w:pitch w:val="default"/>
    <w:sig w:usb0="00000000" w:usb1="00000000" w:usb2="00000000" w:usb3="00000000" w:csb0="00040000" w:csb1="00000000"/>
  </w:font>
  <w:font w:name="汉仪仿宋简">
    <w:altName w:val="仿宋"/>
    <w:panose1 w:val="02010600000101010101"/>
    <w:charset w:val="86"/>
    <w:family w:val="auto"/>
    <w:pitch w:val="default"/>
    <w:sig w:usb0="00000000" w:usb1="00000000" w:usb2="00000002" w:usb3="00000000" w:csb0="00040000" w:csb1="00000000"/>
  </w:font>
  <w:font w:name="Segoe Print">
    <w:panose1 w:val="02000600000000000000"/>
    <w:charset w:val="00"/>
    <w:family w:val="auto"/>
    <w:pitch w:val="default"/>
    <w:sig w:usb0="0000028F" w:usb1="00000000" w:usb2="00000000" w:usb3="00000000" w:csb0="2000009F" w:csb1="47010000"/>
  </w:font>
  <w:font w:name="Courier New">
    <w:panose1 w:val="02070309020205020404"/>
    <w:charset w:val="00"/>
    <w:family w:val="modern"/>
    <w:pitch w:val="default"/>
    <w:sig w:usb0="00007A87" w:usb1="80000000" w:usb2="00000008" w:usb3="00000000" w:csb0="400001FF" w:csb1="FFFF0000"/>
  </w:font>
  <w:font w:name="方正小标宋简体">
    <w:panose1 w:val="02010601030101010101"/>
    <w:charset w:val="86"/>
    <w:family w:val="script"/>
    <w:pitch w:val="default"/>
    <w:sig w:usb0="00000001" w:usb1="080E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CE9ED8"/>
    <w:multiLevelType w:val="singleLevel"/>
    <w:tmpl w:val="12CE9ED8"/>
    <w:lvl w:ilvl="0" w:tentative="0">
      <w:start w:val="2"/>
      <w:numFmt w:val="chineseCounting"/>
      <w:suff w:val="space"/>
      <w:lvlText w:val="第%1章"/>
      <w:lvlJc w:val="left"/>
      <w:rPr>
        <w:rFonts w:hint="eastAsia" w:ascii="黑体" w:hAnsi="黑体" w:eastAsia="黑体" w:cs="黑体"/>
        <w:b w:val="0"/>
        <w:bCs w:val="0"/>
        <w:sz w:val="32"/>
        <w:szCs w:val="32"/>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bordersDoNotSurroundHeader w:val="1"/>
  <w:bordersDoNotSurroundFooter w:val="1"/>
  <w:documentProtection w:enforcement="0"/>
  <w:defaultTabStop w:val="420"/>
  <w:hyphenationZone w:val="360"/>
  <w:drawingGridVerticalSpacing w:val="218"/>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23F5"/>
    <w:rsid w:val="00110ED3"/>
    <w:rsid w:val="00333C06"/>
    <w:rsid w:val="00346BB0"/>
    <w:rsid w:val="00395785"/>
    <w:rsid w:val="00470839"/>
    <w:rsid w:val="006D0579"/>
    <w:rsid w:val="0084618F"/>
    <w:rsid w:val="00A72D16"/>
    <w:rsid w:val="00A91BEC"/>
    <w:rsid w:val="00CC1156"/>
    <w:rsid w:val="00D9738A"/>
    <w:rsid w:val="00DA2D77"/>
    <w:rsid w:val="00DB23F5"/>
    <w:rsid w:val="00DE787E"/>
    <w:rsid w:val="00E371E4"/>
    <w:rsid w:val="00E57F61"/>
    <w:rsid w:val="00EF228E"/>
    <w:rsid w:val="015E1027"/>
    <w:rsid w:val="01A70A44"/>
    <w:rsid w:val="045F76C7"/>
    <w:rsid w:val="047F2BB2"/>
    <w:rsid w:val="06D54ADE"/>
    <w:rsid w:val="082C3F17"/>
    <w:rsid w:val="08596ACD"/>
    <w:rsid w:val="091B1470"/>
    <w:rsid w:val="0D161CE9"/>
    <w:rsid w:val="106A0860"/>
    <w:rsid w:val="11CA42BF"/>
    <w:rsid w:val="11DB3BC7"/>
    <w:rsid w:val="13627167"/>
    <w:rsid w:val="141E1FEA"/>
    <w:rsid w:val="14A85100"/>
    <w:rsid w:val="14BC2210"/>
    <w:rsid w:val="150053B4"/>
    <w:rsid w:val="1674344E"/>
    <w:rsid w:val="1B25424A"/>
    <w:rsid w:val="1B29246B"/>
    <w:rsid w:val="1C534715"/>
    <w:rsid w:val="1DAA5E5A"/>
    <w:rsid w:val="1F0B5540"/>
    <w:rsid w:val="1FCC4500"/>
    <w:rsid w:val="212A22B6"/>
    <w:rsid w:val="2133289B"/>
    <w:rsid w:val="21E47572"/>
    <w:rsid w:val="22EC0174"/>
    <w:rsid w:val="24B605C8"/>
    <w:rsid w:val="24BE414F"/>
    <w:rsid w:val="272B619A"/>
    <w:rsid w:val="27B61F67"/>
    <w:rsid w:val="27C20A3B"/>
    <w:rsid w:val="281C3036"/>
    <w:rsid w:val="2A1555D7"/>
    <w:rsid w:val="2AE134C0"/>
    <w:rsid w:val="2BA52084"/>
    <w:rsid w:val="2E7F2161"/>
    <w:rsid w:val="2FBF6C9F"/>
    <w:rsid w:val="30143A05"/>
    <w:rsid w:val="317F4ACF"/>
    <w:rsid w:val="31DD37F0"/>
    <w:rsid w:val="33882C77"/>
    <w:rsid w:val="357553FB"/>
    <w:rsid w:val="362E12CD"/>
    <w:rsid w:val="367F4CC3"/>
    <w:rsid w:val="36ED5603"/>
    <w:rsid w:val="37E01E88"/>
    <w:rsid w:val="37F35F16"/>
    <w:rsid w:val="38917079"/>
    <w:rsid w:val="38CC309F"/>
    <w:rsid w:val="3A1622AC"/>
    <w:rsid w:val="3BFE65C5"/>
    <w:rsid w:val="3D2C6034"/>
    <w:rsid w:val="3F7B2D77"/>
    <w:rsid w:val="3FA46663"/>
    <w:rsid w:val="413D6D29"/>
    <w:rsid w:val="423069FA"/>
    <w:rsid w:val="43BD3F57"/>
    <w:rsid w:val="44321CAE"/>
    <w:rsid w:val="46F005B5"/>
    <w:rsid w:val="49281E8A"/>
    <w:rsid w:val="4C9C31D4"/>
    <w:rsid w:val="4D7F11A7"/>
    <w:rsid w:val="4DED41E4"/>
    <w:rsid w:val="4F55420C"/>
    <w:rsid w:val="4FD55B4A"/>
    <w:rsid w:val="4FFC7119"/>
    <w:rsid w:val="50E22FC3"/>
    <w:rsid w:val="50E4270A"/>
    <w:rsid w:val="514344C5"/>
    <w:rsid w:val="51664AEA"/>
    <w:rsid w:val="559C38E9"/>
    <w:rsid w:val="564D5180"/>
    <w:rsid w:val="574929FF"/>
    <w:rsid w:val="57A75A85"/>
    <w:rsid w:val="5963683E"/>
    <w:rsid w:val="5AC95491"/>
    <w:rsid w:val="5B1F795C"/>
    <w:rsid w:val="5BA74FCE"/>
    <w:rsid w:val="5DE972E2"/>
    <w:rsid w:val="5EB00269"/>
    <w:rsid w:val="61F66FEC"/>
    <w:rsid w:val="65C85B9C"/>
    <w:rsid w:val="65FFE1B6"/>
    <w:rsid w:val="66FB3D9E"/>
    <w:rsid w:val="673FA2BF"/>
    <w:rsid w:val="67FFE698"/>
    <w:rsid w:val="681B483A"/>
    <w:rsid w:val="68E04959"/>
    <w:rsid w:val="6A7B6C08"/>
    <w:rsid w:val="6B0300F8"/>
    <w:rsid w:val="6B043025"/>
    <w:rsid w:val="6E1307D7"/>
    <w:rsid w:val="6E5D04B3"/>
    <w:rsid w:val="6F2C1B6B"/>
    <w:rsid w:val="6FFFF969"/>
    <w:rsid w:val="70416C96"/>
    <w:rsid w:val="705526E7"/>
    <w:rsid w:val="71437231"/>
    <w:rsid w:val="71EE1CFD"/>
    <w:rsid w:val="736B4444"/>
    <w:rsid w:val="75975398"/>
    <w:rsid w:val="77BA047C"/>
    <w:rsid w:val="78D70437"/>
    <w:rsid w:val="79DE5089"/>
    <w:rsid w:val="7B214E54"/>
    <w:rsid w:val="7B495E2F"/>
    <w:rsid w:val="7B8D4719"/>
    <w:rsid w:val="7C9E3545"/>
    <w:rsid w:val="7E411EBD"/>
    <w:rsid w:val="7EFCAA4F"/>
    <w:rsid w:val="7F44428D"/>
    <w:rsid w:val="7FD60E73"/>
    <w:rsid w:val="7FDD6E12"/>
    <w:rsid w:val="9A3FB545"/>
    <w:rsid w:val="9FB6899F"/>
    <w:rsid w:val="B7F68E03"/>
    <w:rsid w:val="B7FF41BB"/>
    <w:rsid w:val="BFDF9036"/>
    <w:rsid w:val="BFFD93FC"/>
    <w:rsid w:val="D7DD5621"/>
    <w:rsid w:val="E2F18A6E"/>
    <w:rsid w:val="E797F13C"/>
    <w:rsid w:val="F07FCC21"/>
    <w:rsid w:val="F3AA8306"/>
    <w:rsid w:val="F6AB7414"/>
    <w:rsid w:val="FBF2DA55"/>
    <w:rsid w:val="FBFD101C"/>
    <w:rsid w:val="FFEC5B7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qFormat="1"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qFormat="1" w:uiPriority="99"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Garamond" w:hAnsi="Garamond" w:eastAsia="仿宋" w:cs="Times New Roman"/>
      <w:kern w:val="2"/>
      <w:sz w:val="32"/>
      <w:szCs w:val="24"/>
      <w:lang w:val="en-US" w:eastAsia="zh-CN" w:bidi="ar-SA"/>
    </w:rPr>
  </w:style>
  <w:style w:type="paragraph" w:styleId="3">
    <w:name w:val="heading 1"/>
    <w:basedOn w:val="1"/>
    <w:next w:val="1"/>
    <w:qFormat/>
    <w:uiPriority w:val="0"/>
    <w:pPr>
      <w:keepNext/>
      <w:keepLines/>
      <w:spacing w:before="200" w:beforeLines="200" w:beforeAutospacing="0" w:afterLines="0" w:afterAutospacing="0" w:line="240" w:lineRule="auto"/>
      <w:ind w:firstLine="0" w:firstLineChars="0"/>
      <w:jc w:val="center"/>
      <w:outlineLvl w:val="0"/>
    </w:pPr>
    <w:rPr>
      <w:rFonts w:eastAsia="宋体"/>
      <w:kern w:val="44"/>
      <w:sz w:val="44"/>
    </w:rPr>
  </w:style>
  <w:style w:type="paragraph" w:styleId="4">
    <w:name w:val="heading 2"/>
    <w:basedOn w:val="1"/>
    <w:next w:val="1"/>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cs="Times New Roman"/>
    </w:rPr>
  </w:style>
  <w:style w:type="paragraph" w:styleId="2">
    <w:name w:val="heading 3"/>
    <w:basedOn w:val="1"/>
    <w:next w:val="1"/>
    <w:unhideWhenUsed/>
    <w:qFormat/>
    <w:uiPriority w:val="0"/>
    <w:pPr>
      <w:keepNext/>
      <w:keepLines/>
      <w:spacing w:before="100" w:beforeLines="100" w:beforeAutospacing="0" w:after="100" w:afterLines="100" w:afterAutospacing="0" w:line="240" w:lineRule="auto"/>
      <w:ind w:firstLine="0" w:firstLineChars="0"/>
      <w:jc w:val="center"/>
      <w:outlineLvl w:val="2"/>
    </w:pPr>
    <w:rPr>
      <w:rFonts w:eastAsia="黑体"/>
    </w:rPr>
  </w:style>
  <w:style w:type="character" w:default="1" w:styleId="17">
    <w:name w:val="Default Paragraph Font"/>
    <w:semiHidden/>
    <w:qFormat/>
    <w:uiPriority w:val="0"/>
  </w:style>
  <w:style w:type="table" w:default="1" w:styleId="20">
    <w:name w:val="Normal Table"/>
    <w:semiHidden/>
    <w:qFormat/>
    <w:uiPriority w:val="0"/>
    <w:tblPr>
      <w:tblLayout w:type="fixed"/>
      <w:tblCellMar>
        <w:top w:w="0" w:type="dxa"/>
        <w:left w:w="108" w:type="dxa"/>
        <w:bottom w:w="0" w:type="dxa"/>
        <w:right w:w="108" w:type="dxa"/>
      </w:tblCellMar>
    </w:tblPr>
  </w:style>
  <w:style w:type="paragraph" w:styleId="5">
    <w:name w:val="Body Text First Indent"/>
    <w:basedOn w:val="6"/>
    <w:qFormat/>
    <w:uiPriority w:val="0"/>
    <w:pPr>
      <w:ind w:firstLine="420" w:firstLineChars="100"/>
    </w:pPr>
    <w:rPr>
      <w:rFonts w:ascii="Calibri" w:hAnsi="Calibri"/>
      <w:kern w:val="0"/>
      <w:sz w:val="20"/>
      <w:szCs w:val="20"/>
    </w:rPr>
  </w:style>
  <w:style w:type="paragraph" w:styleId="6">
    <w:name w:val="Body Text"/>
    <w:basedOn w:val="1"/>
    <w:next w:val="7"/>
    <w:qFormat/>
    <w:uiPriority w:val="0"/>
    <w:pPr>
      <w:spacing w:after="120"/>
    </w:pPr>
  </w:style>
  <w:style w:type="paragraph" w:customStyle="1" w:styleId="7">
    <w:name w:val="neirong"/>
    <w:basedOn w:val="1"/>
    <w:next w:val="1"/>
    <w:qFormat/>
    <w:uiPriority w:val="0"/>
    <w:pPr>
      <w:widowControl/>
      <w:spacing w:before="100" w:beforeAutospacing="1" w:after="100" w:afterAutospacing="1" w:line="360" w:lineRule="auto"/>
      <w:jc w:val="left"/>
    </w:pPr>
    <w:rPr>
      <w:rFonts w:ascii="宋体" w:hAnsi="宋体" w:eastAsia="仿宋_GB2312"/>
      <w:bCs/>
      <w:color w:val="000000"/>
      <w:kern w:val="0"/>
      <w:sz w:val="24"/>
    </w:rPr>
  </w:style>
  <w:style w:type="paragraph" w:styleId="8">
    <w:name w:val="index 5"/>
    <w:basedOn w:val="1"/>
    <w:next w:val="1"/>
    <w:qFormat/>
    <w:uiPriority w:val="0"/>
    <w:pPr>
      <w:ind w:left="1680"/>
    </w:pPr>
  </w:style>
  <w:style w:type="paragraph" w:styleId="9">
    <w:name w:val="Body Text Indent"/>
    <w:basedOn w:val="1"/>
    <w:qFormat/>
    <w:uiPriority w:val="0"/>
    <w:pPr>
      <w:spacing w:after="120"/>
      <w:ind w:left="420" w:leftChars="200"/>
    </w:pPr>
  </w:style>
  <w:style w:type="paragraph" w:styleId="10">
    <w:name w:val="Plain Text"/>
    <w:basedOn w:val="1"/>
    <w:unhideWhenUsed/>
    <w:qFormat/>
    <w:uiPriority w:val="99"/>
    <w:rPr>
      <w:rFonts w:ascii="宋体" w:hAnsi="Courier New" w:cs="Courier New"/>
    </w:rPr>
  </w:style>
  <w:style w:type="paragraph" w:styleId="11">
    <w:name w:val="Balloon Text"/>
    <w:basedOn w:val="1"/>
    <w:next w:val="8"/>
    <w:semiHidden/>
    <w:qFormat/>
    <w:uiPriority w:val="0"/>
    <w:rPr>
      <w:sz w:val="18"/>
      <w:szCs w:val="18"/>
    </w:rPr>
  </w:style>
  <w:style w:type="paragraph" w:styleId="12">
    <w:name w:val="footer"/>
    <w:basedOn w:val="1"/>
    <w:qFormat/>
    <w:uiPriority w:val="0"/>
    <w:pPr>
      <w:tabs>
        <w:tab w:val="center" w:pos="4153"/>
        <w:tab w:val="right" w:pos="8306"/>
      </w:tabs>
      <w:snapToGrid w:val="0"/>
      <w:jc w:val="left"/>
    </w:pPr>
    <w:rPr>
      <w:sz w:val="18"/>
    </w:rPr>
  </w:style>
  <w:style w:type="paragraph" w:styleId="13">
    <w:name w:val="Body Text First Indent 2"/>
    <w:basedOn w:val="1"/>
    <w:next w:val="1"/>
    <w:unhideWhenUsed/>
    <w:qFormat/>
    <w:uiPriority w:val="99"/>
    <w:pPr>
      <w:ind w:firstLine="420" w:firstLineChars="200"/>
    </w:pPr>
  </w:style>
  <w:style w:type="paragraph" w:styleId="1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kern w:val="0"/>
      <w:sz w:val="24"/>
    </w:rPr>
  </w:style>
  <w:style w:type="paragraph" w:styleId="16">
    <w:name w:val="Normal (Web)"/>
    <w:basedOn w:val="1"/>
    <w:next w:val="1"/>
    <w:unhideWhenUsed/>
    <w:qFormat/>
    <w:uiPriority w:val="99"/>
    <w:pPr>
      <w:widowControl/>
      <w:spacing w:before="100" w:beforeAutospacing="1" w:after="100" w:afterAutospacing="1"/>
      <w:jc w:val="left"/>
    </w:pPr>
    <w:rPr>
      <w:rFonts w:ascii="宋体" w:hAnsi="宋体" w:cs="宋体"/>
      <w:kern w:val="0"/>
      <w:sz w:val="24"/>
    </w:rPr>
  </w:style>
  <w:style w:type="character" w:styleId="18">
    <w:name w:val="page number"/>
    <w:basedOn w:val="17"/>
    <w:qFormat/>
    <w:uiPriority w:val="0"/>
  </w:style>
  <w:style w:type="character" w:styleId="19">
    <w:name w:val="Hyperlink"/>
    <w:basedOn w:val="17"/>
    <w:qFormat/>
    <w:uiPriority w:val="0"/>
    <w:rPr>
      <w:rFonts w:ascii="Calibri" w:hAnsi="Calibri" w:eastAsia="宋体" w:cs="Times New Roman"/>
      <w:color w:val="000000"/>
      <w:u w:val="none"/>
    </w:rPr>
  </w:style>
  <w:style w:type="paragraph" w:customStyle="1" w:styleId="21">
    <w:name w:val="Default"/>
    <w:unhideWhenUsed/>
    <w:qFormat/>
    <w:uiPriority w:val="99"/>
    <w:pPr>
      <w:widowControl w:val="0"/>
      <w:autoSpaceDE w:val="0"/>
      <w:autoSpaceDN w:val="0"/>
      <w:adjustRightInd w:val="0"/>
    </w:pPr>
    <w:rPr>
      <w:rFonts w:hint="eastAsia" w:ascii="方正仿宋_GBK" w:hAnsi="方正仿宋_GBK" w:eastAsia="方正仿宋_GBK" w:cs="Times New Roman"/>
      <w:color w:val="000000"/>
      <w:sz w:val="24"/>
      <w:szCs w:val="22"/>
      <w:lang w:val="en-US" w:eastAsia="zh-CN" w:bidi="ar-SA"/>
    </w:rPr>
  </w:style>
  <w:style w:type="character" w:customStyle="1" w:styleId="22">
    <w:name w:val="NormalCharacter"/>
    <w:qFormat/>
    <w:uiPriority w:val="0"/>
  </w:style>
  <w:style w:type="paragraph" w:customStyle="1" w:styleId="23">
    <w:name w:val="p17"/>
    <w:basedOn w:val="1"/>
    <w:qFormat/>
    <w:uiPriority w:val="0"/>
    <w:pPr>
      <w:keepNext w:val="0"/>
      <w:keepLines w:val="0"/>
      <w:widowControl/>
      <w:suppressLineNumbers w:val="0"/>
      <w:spacing w:before="0" w:beforeLines="0" w:beforeAutospacing="0" w:after="0" w:afterLines="0" w:afterAutospacing="0"/>
      <w:ind w:left="0" w:right="0"/>
      <w:jc w:val="both"/>
    </w:pPr>
    <w:rPr>
      <w:rFonts w:hint="default" w:ascii="Times New Roman" w:hAnsi="Times New Roman" w:eastAsia="方正仿宋简体"/>
      <w:kern w:val="0"/>
      <w:sz w:val="30"/>
      <w:lang w:val="en-US" w:eastAsia="zh-CN"/>
    </w:rPr>
  </w:style>
  <w:style w:type="paragraph" w:customStyle="1" w:styleId="24">
    <w:name w:val="msonormal msonormal"/>
    <w:basedOn w:val="1"/>
    <w:qFormat/>
    <w:uiPriority w:val="99"/>
    <w:pPr>
      <w:widowControl/>
      <w:spacing w:before="100" w:beforeAutospacing="1" w:after="100" w:afterAutospacing="1"/>
      <w:jc w:val="left"/>
    </w:pPr>
    <w:rPr>
      <w:rFonts w:ascii="宋体" w:hAnsi="宋体" w:cs="宋体"/>
      <w:kern w:val="0"/>
      <w:sz w:val="24"/>
      <w:szCs w:val="24"/>
    </w:rPr>
  </w:style>
  <w:style w:type="paragraph" w:customStyle="1" w:styleId="25">
    <w:name w:val="样式2"/>
    <w:basedOn w:val="1"/>
    <w:next w:val="11"/>
    <w:qFormat/>
    <w:uiPriority w:val="0"/>
    <w:pPr>
      <w:spacing w:line="600" w:lineRule="exact"/>
      <w:ind w:right="-47" w:rightChars="-47" w:firstLine="200" w:firstLineChars="200"/>
      <w:jc w:val="left"/>
    </w:pPr>
    <w:rPr>
      <w:rFonts w:ascii="Calibri" w:hAnsi="Calibri" w:eastAsia="宋体"/>
      <w:bCs/>
      <w:kern w:val="2"/>
      <w:szCs w:val="28"/>
    </w:rPr>
  </w:style>
  <w:style w:type="paragraph" w:customStyle="1" w:styleId="26">
    <w:name w:val="p0"/>
    <w:basedOn w:val="1"/>
    <w:qFormat/>
    <w:uiPriority w:val="0"/>
    <w:pPr>
      <w:keepNext w:val="0"/>
      <w:keepLines w:val="0"/>
      <w:widowControl/>
      <w:suppressLineNumbers w:val="0"/>
      <w:spacing w:before="0" w:beforeLines="0" w:beforeAutospacing="0" w:after="0" w:afterLines="0" w:afterAutospacing="0" w:line="240" w:lineRule="atLeast"/>
      <w:ind w:left="0" w:right="0"/>
      <w:jc w:val="both"/>
    </w:pPr>
    <w:rPr>
      <w:rFonts w:hint="default" w:ascii="Times New Roman" w:hAnsi="Times New Roman" w:eastAsia="仿宋_GB2312"/>
      <w:spacing w:val="-6"/>
      <w:kern w:val="0"/>
      <w:sz w:val="32"/>
      <w:lang w:val="en-US" w:eastAsia="zh-CN"/>
    </w:rPr>
  </w:style>
  <w:style w:type="character" w:customStyle="1" w:styleId="27">
    <w:name w:val="16"/>
    <w:basedOn w:val="17"/>
    <w:qFormat/>
    <w:uiPriority w:val="0"/>
    <w:rPr>
      <w:rFonts w:hint="default" w:ascii="Times New Roman" w:hAnsi="Times New Roman" w:cs="Times New Roman"/>
    </w:rPr>
  </w:style>
  <w:style w:type="paragraph" w:customStyle="1" w:styleId="28">
    <w:name w:val="Char Char Char Char Char Char Char Char Char Char Char Char Char Char Char Char Char Char Char Char Char Char Char Char Char Char Char Char Char Char Char Char Char"/>
    <w:basedOn w:val="1"/>
    <w:qFormat/>
    <w:uiPriority w:val="0"/>
    <w:pPr>
      <w:widowControl/>
      <w:spacing w:after="160" w:afterLines="0" w:line="240" w:lineRule="exact"/>
      <w:jc w:val="left"/>
    </w:pPr>
    <w:rPr>
      <w:spacing w:val="0"/>
      <w:szCs w:val="24"/>
    </w:rPr>
  </w:style>
  <w:style w:type="paragraph" w:customStyle="1" w:styleId="29">
    <w:name w:val="Body Text First Indent 21"/>
    <w:basedOn w:val="9"/>
    <w:qFormat/>
    <w:uiPriority w:val="0"/>
    <w:pPr>
      <w:ind w:firstLine="420"/>
    </w:pPr>
    <w:rPr>
      <w:rFonts w:eastAsia="仿宋_GB2312" w:cs="Times New Roman"/>
      <w:kern w:val="1"/>
      <w:sz w:val="32"/>
      <w:szCs w:val="24"/>
    </w:rPr>
  </w:style>
  <w:style w:type="paragraph" w:customStyle="1" w:styleId="30">
    <w:name w:val="Body Text First Indent 2"/>
    <w:basedOn w:val="9"/>
    <w:qFormat/>
    <w:uiPriority w:val="0"/>
    <w:pPr>
      <w:widowControl w:val="0"/>
      <w:ind w:firstLine="420"/>
      <w:jc w:val="both"/>
    </w:pPr>
    <w:rPr>
      <w:rFonts w:ascii="Calibri" w:hAnsi="Calibri" w:eastAsia="仿宋_GB2312" w:cs="Times New Roman"/>
      <w:kern w:val="1"/>
      <w:sz w:val="32"/>
      <w:szCs w:val="24"/>
      <w:lang w:val="en-US" w:eastAsia="zh-CN" w:bidi="ar-SA"/>
    </w:rPr>
  </w:style>
  <w:style w:type="paragraph" w:customStyle="1" w:styleId="31">
    <w:name w:val="_Style 3"/>
    <w:basedOn w:val="1"/>
    <w:qFormat/>
    <w:uiPriority w:val="0"/>
    <w:pPr>
      <w:widowControl/>
      <w:spacing w:after="160" w:afterLines="0" w:line="240" w:lineRule="exact"/>
      <w:jc w:val="left"/>
    </w:pPr>
    <w:rPr>
      <w:rFonts w:ascii="Times New Roman" w:hAnsi="Times New Roman" w:cs="Times New Roman"/>
      <w:szCs w:val="24"/>
    </w:rPr>
  </w:style>
  <w:style w:type="paragraph" w:customStyle="1" w:styleId="32">
    <w:name w:val="修正1行"/>
    <w:basedOn w:val="1"/>
    <w:next w:val="1"/>
    <w:qFormat/>
    <w:uiPriority w:val="0"/>
    <w:pPr>
      <w:spacing w:line="480" w:lineRule="exact"/>
    </w:pPr>
  </w:style>
  <w:style w:type="paragraph" w:customStyle="1" w:styleId="33">
    <w:name w:val="BodyText1I2"/>
    <w:basedOn w:val="1"/>
    <w:next w:val="1"/>
    <w:qFormat/>
    <w:uiPriority w:val="0"/>
    <w:pPr>
      <w:ind w:firstLine="420"/>
      <w:jc w:val="both"/>
      <w:textAlignment w:val="baseline"/>
    </w:pPr>
    <w:rPr>
      <w:rFonts w:ascii="Calibri" w:hAnsi="Calibri" w:eastAsia="仿宋_GB2312"/>
      <w:kern w:val="2"/>
      <w:sz w:val="32"/>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40</Words>
  <Characters>233</Characters>
  <Lines>1</Lines>
  <Paragraphs>1</Paragraphs>
  <ScaleCrop>false</ScaleCrop>
  <LinksUpToDate>false</LinksUpToDate>
  <CharactersWithSpaces>272</CharactersWithSpaces>
  <Application>WPS Office_10.8.0.6308_F1E327BC-269C-435d-A152-05C5408002CA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2017-07-30T09:59:00Z</dcterms:created>
  <dc:creator>齐齐</dc:creator>
  <cp:lastModifiedBy>lxy</cp:lastModifiedBy>
  <cp:lastPrinted>2022-12-12T15:44:00Z</cp:lastPrinted>
  <dcterms:modified xsi:type="dcterms:W3CDTF">2022-12-19T00:43:01Z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2052-10.8.0.6308</vt:lpwstr>
  </property>
</Properties>
</file>