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ascii="Times New Roman" w:hAnsi="Times New Roman" w:eastAsia="方正黑体_GBK" w:cs="Times New Roman"/>
          <w:sz w:val="28"/>
          <w:szCs w:val="28"/>
        </w:rPr>
        <w:t xml:space="preserve">                </w:t>
      </w:r>
    </w:p>
    <w:p>
      <w:pPr>
        <w:spacing w:line="580" w:lineRule="exact"/>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莆田市城市生态绿心保护条例</w:t>
      </w:r>
    </w:p>
    <w:p>
      <w:pPr>
        <w:spacing w:before="263" w:beforeLines="50" w:line="580" w:lineRule="exact"/>
        <w:jc w:val="center"/>
        <w:rPr>
          <w:rFonts w:hint="eastAsia" w:ascii="楷体_GB2312" w:hAnsi="楷体" w:eastAsia="楷体_GB2312" w:cs="楷体"/>
          <w:sz w:val="32"/>
          <w:szCs w:val="32"/>
        </w:rPr>
      </w:pPr>
      <w:r>
        <w:rPr>
          <w:rFonts w:hint="default" w:ascii="Times New Roman" w:hAnsi="Times New Roman" w:eastAsia="楷体_GB2312" w:cs="Times New Roman"/>
          <w:sz w:val="32"/>
          <w:szCs w:val="32"/>
        </w:rPr>
        <w:t>（2020年1月7</w:t>
      </w:r>
      <w:r>
        <w:rPr>
          <w:rFonts w:hint="eastAsia" w:ascii="楷体_GB2312" w:hAnsi="楷体" w:eastAsia="楷体_GB2312" w:cs="楷体"/>
          <w:sz w:val="32"/>
          <w:szCs w:val="32"/>
        </w:rPr>
        <w:t>日莆田市第七届人民代表大会</w:t>
      </w:r>
    </w:p>
    <w:p>
      <w:pPr>
        <w:spacing w:line="580" w:lineRule="exact"/>
        <w:jc w:val="center"/>
        <w:rPr>
          <w:rFonts w:hint="eastAsia" w:ascii="楷体_GB2312" w:hAnsi="楷体" w:eastAsia="楷体_GB2312" w:cs="楷体"/>
          <w:sz w:val="32"/>
          <w:szCs w:val="32"/>
        </w:rPr>
      </w:pPr>
      <w:r>
        <w:rPr>
          <w:rFonts w:hint="eastAsia" w:ascii="楷体_GB2312" w:hAnsi="楷体" w:eastAsia="楷体_GB2312" w:cs="楷体"/>
          <w:sz w:val="32"/>
          <w:szCs w:val="32"/>
        </w:rPr>
        <w:t>第四次会议通过</w:t>
      </w:r>
    </w:p>
    <w:p>
      <w:pPr>
        <w:pStyle w:val="18"/>
        <w:keepNext w:val="0"/>
        <w:keepLines w:val="0"/>
        <w:pageBreakBefore w:val="0"/>
        <w:widowControl w:val="0"/>
        <w:kinsoku/>
        <w:wordWrap/>
        <w:overflowPunct/>
        <w:topLinePunct w:val="0"/>
        <w:bidi w:val="0"/>
        <w:spacing w:before="0" w:beforeAutospacing="0" w:after="0" w:afterAutospacing="0" w:line="560" w:lineRule="exact"/>
        <w:jc w:val="center"/>
        <w:textAlignment w:val="auto"/>
        <w:rPr>
          <w:rFonts w:hint="default" w:ascii="Times New Roman" w:hAnsi="Times New Roman" w:eastAsia="楷体_GB2312" w:cs="Times New Roman"/>
          <w:color w:val="000000"/>
          <w:sz w:val="32"/>
          <w:szCs w:val="32"/>
          <w:lang w:val="en-US" w:eastAsia="zh-CN"/>
        </w:rPr>
      </w:pPr>
      <w:r>
        <w:rPr>
          <w:rFonts w:hint="default" w:ascii="Times New Roman" w:hAnsi="Times New Roman" w:eastAsia="楷体_GB2312" w:cs="Times New Roman"/>
          <w:color w:val="000000"/>
          <w:sz w:val="32"/>
          <w:szCs w:val="32"/>
          <w:lang w:val="en-US" w:eastAsia="zh-CN"/>
        </w:rPr>
        <w:t>20</w:t>
      </w:r>
      <w:r>
        <w:rPr>
          <w:rFonts w:hint="eastAsia" w:ascii="Times New Roman" w:hAnsi="Times New Roman" w:eastAsia="楷体_GB2312" w:cs="Times New Roman"/>
          <w:color w:val="000000"/>
          <w:sz w:val="32"/>
          <w:szCs w:val="32"/>
          <w:lang w:val="en-US" w:eastAsia="zh-CN"/>
        </w:rPr>
        <w:t>20</w:t>
      </w:r>
      <w:r>
        <w:rPr>
          <w:rFonts w:hint="default" w:ascii="Times New Roman" w:hAnsi="Times New Roman" w:eastAsia="楷体_GB2312" w:cs="Times New Roman"/>
          <w:color w:val="000000"/>
          <w:sz w:val="32"/>
          <w:szCs w:val="32"/>
          <w:lang w:val="en-US" w:eastAsia="zh-CN"/>
        </w:rPr>
        <w:t>年</w:t>
      </w:r>
      <w:r>
        <w:rPr>
          <w:rFonts w:hint="eastAsia" w:ascii="Times New Roman" w:hAnsi="Times New Roman" w:eastAsia="楷体_GB2312" w:cs="Times New Roman"/>
          <w:color w:val="000000"/>
          <w:sz w:val="32"/>
          <w:szCs w:val="32"/>
          <w:lang w:val="en-US" w:eastAsia="zh-CN"/>
        </w:rPr>
        <w:t>3</w:t>
      </w:r>
      <w:r>
        <w:rPr>
          <w:rFonts w:hint="default" w:ascii="Times New Roman" w:hAnsi="Times New Roman" w:eastAsia="楷体_GB2312" w:cs="Times New Roman"/>
          <w:color w:val="000000"/>
          <w:sz w:val="32"/>
          <w:szCs w:val="32"/>
          <w:lang w:val="en-US" w:eastAsia="zh-CN"/>
        </w:rPr>
        <w:t>月2</w:t>
      </w:r>
      <w:r>
        <w:rPr>
          <w:rFonts w:hint="eastAsia" w:ascii="Times New Roman" w:hAnsi="Times New Roman" w:eastAsia="楷体_GB2312" w:cs="Times New Roman"/>
          <w:color w:val="000000"/>
          <w:sz w:val="32"/>
          <w:szCs w:val="32"/>
          <w:lang w:val="en-US" w:eastAsia="zh-CN"/>
        </w:rPr>
        <w:t>0</w:t>
      </w:r>
      <w:r>
        <w:rPr>
          <w:rFonts w:hint="default" w:ascii="Times New Roman" w:hAnsi="Times New Roman" w:eastAsia="楷体_GB2312" w:cs="Times New Roman"/>
          <w:color w:val="000000"/>
          <w:sz w:val="32"/>
          <w:szCs w:val="32"/>
          <w:lang w:val="en-US" w:eastAsia="zh-CN"/>
        </w:rPr>
        <w:t>日福建省第十三届人民代表大会</w:t>
      </w:r>
    </w:p>
    <w:p>
      <w:pPr>
        <w:pStyle w:val="18"/>
        <w:keepNext w:val="0"/>
        <w:keepLines w:val="0"/>
        <w:pageBreakBefore w:val="0"/>
        <w:widowControl w:val="0"/>
        <w:kinsoku/>
        <w:wordWrap/>
        <w:overflowPunct/>
        <w:topLinePunct w:val="0"/>
        <w:bidi w:val="0"/>
        <w:spacing w:before="0" w:beforeAutospacing="0" w:after="0" w:afterAutospacing="0" w:line="560" w:lineRule="exact"/>
        <w:jc w:val="center"/>
        <w:textAlignment w:val="auto"/>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lang w:val="en-US" w:eastAsia="zh-CN"/>
        </w:rPr>
        <w:t>常务委员会第十</w:t>
      </w:r>
      <w:r>
        <w:rPr>
          <w:rFonts w:hint="eastAsia" w:ascii="Times New Roman" w:hAnsi="Times New Roman" w:eastAsia="楷体_GB2312" w:cs="Times New Roman"/>
          <w:color w:val="000000"/>
          <w:sz w:val="32"/>
          <w:szCs w:val="32"/>
          <w:lang w:val="en-US" w:eastAsia="zh-CN"/>
        </w:rPr>
        <w:t>七</w:t>
      </w:r>
      <w:r>
        <w:rPr>
          <w:rFonts w:hint="default" w:ascii="Times New Roman" w:hAnsi="Times New Roman" w:eastAsia="楷体_GB2312" w:cs="Times New Roman"/>
          <w:color w:val="000000"/>
          <w:sz w:val="32"/>
          <w:szCs w:val="32"/>
          <w:lang w:val="en-US" w:eastAsia="zh-CN"/>
        </w:rPr>
        <w:t>次会议批准</w:t>
      </w:r>
      <w:r>
        <w:rPr>
          <w:rFonts w:hint="default" w:ascii="Times New Roman" w:hAnsi="Times New Roman" w:eastAsia="楷体_GB2312" w:cs="Times New Roman"/>
          <w:color w:val="000000"/>
          <w:sz w:val="32"/>
          <w:szCs w:val="32"/>
        </w:rPr>
        <w:t>）</w:t>
      </w:r>
    </w:p>
    <w:p>
      <w:pPr>
        <w:spacing w:line="580" w:lineRule="exact"/>
        <w:jc w:val="center"/>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snapToGrid/>
        <w:spacing w:after="157" w:afterLines="50" w:line="58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目  </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录</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rPr>
          <w:rFonts w:hint="eastAsia" w:asciiTheme="minorEastAsia" w:hAnsiTheme="minorEastAsia" w:eastAsiaTheme="minorEastAsia" w:cstheme="minorEastAsia"/>
          <w:kern w:val="0"/>
          <w:sz w:val="32"/>
          <w:szCs w:val="32"/>
          <w:lang w:val="zh-CN"/>
        </w:rPr>
      </w:pPr>
      <w:r>
        <w:rPr>
          <w:rFonts w:hint="eastAsia" w:asciiTheme="minorEastAsia" w:hAnsiTheme="minorEastAsia" w:eastAsiaTheme="minorEastAsia" w:cstheme="minorEastAsia"/>
          <w:kern w:val="0"/>
          <w:sz w:val="32"/>
          <w:szCs w:val="32"/>
          <w:lang w:val="zh-CN"/>
        </w:rPr>
        <w:t>第一章    总则</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rPr>
          <w:rFonts w:hint="eastAsia" w:asciiTheme="minorEastAsia" w:hAnsiTheme="minorEastAsia" w:eastAsiaTheme="minorEastAsia" w:cstheme="minorEastAsia"/>
          <w:kern w:val="0"/>
          <w:sz w:val="32"/>
          <w:szCs w:val="32"/>
          <w:lang w:val="zh-CN"/>
        </w:rPr>
      </w:pPr>
      <w:r>
        <w:rPr>
          <w:rFonts w:hint="eastAsia" w:asciiTheme="minorEastAsia" w:hAnsiTheme="minorEastAsia" w:eastAsiaTheme="minorEastAsia" w:cstheme="minorEastAsia"/>
          <w:kern w:val="0"/>
          <w:sz w:val="32"/>
          <w:szCs w:val="32"/>
          <w:lang w:val="zh-CN"/>
        </w:rPr>
        <w:t>第二章    规划与建设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rPr>
          <w:rFonts w:hint="eastAsia" w:asciiTheme="minorEastAsia" w:hAnsiTheme="minorEastAsia" w:eastAsiaTheme="minorEastAsia" w:cstheme="minorEastAsia"/>
          <w:kern w:val="0"/>
          <w:sz w:val="32"/>
          <w:szCs w:val="32"/>
          <w:lang w:val="zh-CN"/>
        </w:rPr>
      </w:pPr>
      <w:r>
        <w:rPr>
          <w:rFonts w:hint="eastAsia" w:asciiTheme="minorEastAsia" w:hAnsiTheme="minorEastAsia" w:eastAsiaTheme="minorEastAsia" w:cstheme="minorEastAsia"/>
          <w:kern w:val="0"/>
          <w:sz w:val="32"/>
          <w:szCs w:val="32"/>
          <w:lang w:val="zh-CN"/>
        </w:rPr>
        <w:t>第三章    保护与管理</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rPr>
          <w:rFonts w:hint="eastAsia" w:asciiTheme="minorEastAsia" w:hAnsiTheme="minorEastAsia" w:eastAsiaTheme="minorEastAsia" w:cstheme="minorEastAsia"/>
          <w:kern w:val="0"/>
          <w:sz w:val="32"/>
          <w:szCs w:val="32"/>
          <w:lang w:val="zh-CN"/>
        </w:rPr>
      </w:pPr>
      <w:r>
        <w:rPr>
          <w:rFonts w:hint="eastAsia" w:asciiTheme="minorEastAsia" w:hAnsiTheme="minorEastAsia" w:eastAsiaTheme="minorEastAsia" w:cstheme="minorEastAsia"/>
          <w:kern w:val="0"/>
          <w:sz w:val="32"/>
          <w:szCs w:val="32"/>
          <w:lang w:val="zh-CN"/>
        </w:rPr>
        <w:t>第四章    法律责任</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rPr>
          <w:rFonts w:hint="eastAsia" w:asciiTheme="minorEastAsia" w:hAnsiTheme="minorEastAsia" w:eastAsiaTheme="minorEastAsia" w:cstheme="minorEastAsia"/>
          <w:kern w:val="0"/>
          <w:sz w:val="32"/>
          <w:szCs w:val="32"/>
          <w:lang w:val="zh-CN"/>
        </w:rPr>
      </w:pPr>
      <w:r>
        <w:rPr>
          <w:rFonts w:hint="eastAsia" w:asciiTheme="minorEastAsia" w:hAnsiTheme="minorEastAsia" w:eastAsiaTheme="minorEastAsia" w:cstheme="minorEastAsia"/>
          <w:kern w:val="0"/>
          <w:sz w:val="32"/>
          <w:szCs w:val="32"/>
          <w:lang w:val="zh-CN"/>
        </w:rPr>
        <w:t>第五章    附则</w:t>
      </w:r>
    </w:p>
    <w:p>
      <w:pPr>
        <w:keepNext w:val="0"/>
        <w:keepLines w:val="0"/>
        <w:pageBreakBefore w:val="0"/>
        <w:widowControl w:val="0"/>
        <w:kinsoku/>
        <w:wordWrap/>
        <w:overflowPunct/>
        <w:topLinePunct w:val="0"/>
        <w:autoSpaceDE w:val="0"/>
        <w:autoSpaceDN w:val="0"/>
        <w:bidi w:val="0"/>
        <w:adjustRightInd w:val="0"/>
        <w:snapToGrid/>
        <w:spacing w:line="580" w:lineRule="exact"/>
        <w:jc w:val="center"/>
        <w:textAlignment w:val="auto"/>
        <w:rPr>
          <w:rFonts w:hint="eastAsia" w:ascii="黑体" w:hAnsi="黑体" w:eastAsia="黑体" w:cs="仿宋"/>
          <w:bCs/>
          <w:kern w:val="0"/>
          <w:sz w:val="32"/>
          <w:szCs w:val="32"/>
        </w:rPr>
      </w:pPr>
    </w:p>
    <w:p>
      <w:pPr>
        <w:keepNext w:val="0"/>
        <w:keepLines w:val="0"/>
        <w:pageBreakBefore w:val="0"/>
        <w:widowControl w:val="0"/>
        <w:kinsoku/>
        <w:wordWrap/>
        <w:overflowPunct/>
        <w:topLinePunct w:val="0"/>
        <w:autoSpaceDE w:val="0"/>
        <w:autoSpaceDN w:val="0"/>
        <w:bidi w:val="0"/>
        <w:adjustRightInd w:val="0"/>
        <w:snapToGrid/>
        <w:spacing w:after="313" w:afterLines="100" w:line="580" w:lineRule="exact"/>
        <w:jc w:val="center"/>
        <w:textAlignment w:val="auto"/>
        <w:rPr>
          <w:rFonts w:hint="eastAsia" w:ascii="黑体" w:hAnsi="黑体" w:eastAsia="黑体" w:cs="仿宋"/>
          <w:bCs/>
          <w:kern w:val="0"/>
          <w:sz w:val="32"/>
          <w:szCs w:val="32"/>
        </w:rPr>
      </w:pPr>
      <w:r>
        <w:rPr>
          <w:rFonts w:hint="eastAsia" w:ascii="黑体" w:hAnsi="黑体" w:eastAsia="黑体" w:cs="仿宋"/>
          <w:bCs/>
          <w:kern w:val="0"/>
          <w:sz w:val="32"/>
          <w:szCs w:val="32"/>
        </w:rPr>
        <w:t xml:space="preserve">第一章  总 </w:t>
      </w:r>
      <w:r>
        <w:rPr>
          <w:rFonts w:hint="eastAsia" w:ascii="黑体" w:hAnsi="黑体" w:eastAsia="黑体" w:cs="仿宋"/>
          <w:bCs/>
          <w:kern w:val="0"/>
          <w:sz w:val="32"/>
          <w:szCs w:val="32"/>
          <w:lang w:val="en-US" w:eastAsia="zh-CN"/>
        </w:rPr>
        <w:t xml:space="preserve">  </w:t>
      </w:r>
      <w:r>
        <w:rPr>
          <w:rFonts w:hint="eastAsia" w:ascii="黑体" w:hAnsi="黑体" w:eastAsia="黑体" w:cs="仿宋"/>
          <w:bCs/>
          <w:kern w:val="0"/>
          <w:sz w:val="32"/>
          <w:szCs w:val="32"/>
        </w:rPr>
        <w:t xml:space="preserve"> 则</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 xml:space="preserve">第一条 </w:t>
      </w:r>
      <w:r>
        <w:rPr>
          <w:rFonts w:hint="eastAsia" w:hAnsi="仿宋" w:eastAsia="仿宋_GB2312" w:cs="仿宋"/>
          <w:kern w:val="0"/>
          <w:sz w:val="32"/>
          <w:szCs w:val="32"/>
          <w:lang w:val="zh-CN"/>
        </w:rPr>
        <w:t xml:space="preserve"> 为了加强城市生态绿心保护，发挥生态安全</w:t>
      </w:r>
      <w:r>
        <w:rPr>
          <w:rFonts w:hint="eastAsia" w:hAnsi="仿宋" w:eastAsia="仿宋_GB2312" w:cs="黑体"/>
          <w:kern w:val="0"/>
          <w:sz w:val="32"/>
          <w:szCs w:val="32"/>
          <w:lang w:val="zh-CN"/>
        </w:rPr>
        <w:t>保障</w:t>
      </w:r>
      <w:r>
        <w:rPr>
          <w:rFonts w:hint="eastAsia" w:hAnsi="仿宋" w:eastAsia="仿宋_GB2312" w:cs="仿宋"/>
          <w:kern w:val="0"/>
          <w:sz w:val="32"/>
          <w:szCs w:val="32"/>
          <w:lang w:val="zh-CN"/>
        </w:rPr>
        <w:t>和生态</w:t>
      </w:r>
      <w:r>
        <w:rPr>
          <w:rFonts w:hint="eastAsia" w:hAnsi="仿宋" w:eastAsia="仿宋_GB2312" w:cs="黑体"/>
          <w:kern w:val="0"/>
          <w:sz w:val="32"/>
          <w:szCs w:val="32"/>
          <w:lang w:val="zh-CN"/>
        </w:rPr>
        <w:t>系统</w:t>
      </w:r>
      <w:r>
        <w:rPr>
          <w:rFonts w:hint="eastAsia" w:hAnsi="仿宋" w:eastAsia="仿宋_GB2312" w:cs="仿宋"/>
          <w:kern w:val="0"/>
          <w:sz w:val="32"/>
          <w:szCs w:val="32"/>
          <w:lang w:val="zh-CN"/>
        </w:rPr>
        <w:t>服务功能，</w:t>
      </w:r>
      <w:r>
        <w:rPr>
          <w:rFonts w:hint="eastAsia" w:hAnsi="仿宋" w:eastAsia="仿宋_GB2312" w:cs="黑体"/>
          <w:kern w:val="0"/>
          <w:sz w:val="32"/>
          <w:szCs w:val="32"/>
          <w:lang w:val="zh-CN"/>
        </w:rPr>
        <w:t>优化城市空间结构，</w:t>
      </w:r>
      <w:r>
        <w:rPr>
          <w:rFonts w:hint="eastAsia" w:hAnsi="仿宋" w:eastAsia="仿宋_GB2312" w:cs="仿宋"/>
          <w:kern w:val="0"/>
          <w:sz w:val="32"/>
          <w:szCs w:val="32"/>
          <w:lang w:val="zh-CN"/>
        </w:rPr>
        <w:t>推进生态文明建设，促进经济社会可持续发展，根据有关法律、法规，结合本市实际，制定本条例。</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第二条</w:t>
      </w:r>
      <w:r>
        <w:rPr>
          <w:rFonts w:hint="eastAsia" w:hAnsi="仿宋" w:eastAsia="仿宋_GB2312" w:cs="仿宋"/>
          <w:kern w:val="0"/>
          <w:sz w:val="32"/>
          <w:szCs w:val="32"/>
          <w:lang w:val="zh-CN"/>
        </w:rPr>
        <w:t xml:space="preserve">  城市生态绿心的规划、建设、保护和管理等工作，适用本条例。</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本条例所称城市生态绿心（以下简称绿心），是指位于莆田市主城区中部的南北洋平原</w:t>
      </w:r>
      <w:r>
        <w:rPr>
          <w:rFonts w:hint="eastAsia" w:hAnsi="仿宋" w:eastAsia="仿宋_GB2312" w:cs="黑体"/>
          <w:kern w:val="0"/>
          <w:sz w:val="32"/>
          <w:szCs w:val="32"/>
          <w:lang w:val="zh-CN"/>
        </w:rPr>
        <w:t>核心</w:t>
      </w:r>
      <w:r>
        <w:rPr>
          <w:rFonts w:hint="eastAsia" w:hAnsi="仿宋" w:eastAsia="仿宋_GB2312" w:cs="仿宋"/>
          <w:kern w:val="0"/>
          <w:sz w:val="32"/>
          <w:szCs w:val="32"/>
          <w:lang w:val="zh-CN"/>
        </w:rPr>
        <w:t>区域，具体范围由绿心保护与利用总体规划（以下简称绿心规划）确定。</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第三条</w:t>
      </w:r>
      <w:r>
        <w:rPr>
          <w:rFonts w:hint="eastAsia" w:hAnsi="仿宋" w:eastAsia="仿宋_GB2312" w:cs="仿宋"/>
          <w:kern w:val="0"/>
          <w:sz w:val="32"/>
          <w:szCs w:val="32"/>
          <w:lang w:val="zh-CN"/>
        </w:rPr>
        <w:t xml:space="preserve">  绿心保护应当遵循科学规划、生态优先、严格保护、绿色发展的原则。</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 xml:space="preserve">第四条 </w:t>
      </w:r>
      <w:r>
        <w:rPr>
          <w:rFonts w:hint="eastAsia" w:hAnsi="仿宋" w:eastAsia="仿宋_GB2312" w:cs="仿宋"/>
          <w:kern w:val="0"/>
          <w:sz w:val="32"/>
          <w:szCs w:val="32"/>
          <w:lang w:val="zh-CN"/>
        </w:rPr>
        <w:t xml:space="preserve"> 市人民政府统一领导绿心保护工作，制定绿心保护年度计划</w:t>
      </w:r>
      <w:r>
        <w:rPr>
          <w:rFonts w:hint="eastAsia" w:hAnsi="仿宋" w:eastAsia="仿宋_GB2312" w:cs="黑体"/>
          <w:kern w:val="0"/>
          <w:sz w:val="32"/>
          <w:szCs w:val="32"/>
          <w:lang w:val="zh-CN"/>
        </w:rPr>
        <w:t>，统筹处理绿心保护重大问题，定期开展督查，并向市人民代表大会常务委员会报告年度保护工作情况</w:t>
      </w:r>
      <w:r>
        <w:rPr>
          <w:rFonts w:hint="eastAsia" w:hAnsi="仿宋" w:eastAsia="仿宋_GB2312" w:cs="仿宋"/>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区人民政府负责落实绿心保护年度计划，组织开展绿心生态环境、历史文化遗产等保护工作。</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镇人民政府（街道办事处）负责具体实施本行政区域的绿心保护工作</w:t>
      </w:r>
      <w:r>
        <w:rPr>
          <w:rFonts w:hint="eastAsia" w:hAnsi="仿宋" w:eastAsia="仿宋_GB2312" w:cs="黑体"/>
          <w:kern w:val="0"/>
          <w:sz w:val="32"/>
          <w:szCs w:val="32"/>
          <w:lang w:val="zh-CN"/>
        </w:rPr>
        <w:t>，开展日常巡查</w:t>
      </w:r>
      <w:r>
        <w:rPr>
          <w:rFonts w:hint="eastAsia" w:hAnsi="仿宋" w:eastAsia="仿宋_GB2312" w:cs="仿宋"/>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发展和改革、民政、财政、自然资源、生态环境、住房和城乡建设、交通</w:t>
      </w:r>
      <w:r>
        <w:rPr>
          <w:rFonts w:hint="eastAsia" w:hAnsi="仿宋" w:eastAsia="仿宋_GB2312" w:cs="黑体"/>
          <w:kern w:val="0"/>
          <w:sz w:val="32"/>
          <w:szCs w:val="32"/>
          <w:lang w:val="zh-CN"/>
        </w:rPr>
        <w:t>运输</w:t>
      </w:r>
      <w:r>
        <w:rPr>
          <w:rFonts w:hint="eastAsia" w:hAnsi="仿宋" w:eastAsia="仿宋_GB2312" w:cs="仿宋"/>
          <w:kern w:val="0"/>
          <w:sz w:val="32"/>
          <w:szCs w:val="32"/>
          <w:lang w:val="zh-CN"/>
        </w:rPr>
        <w:t>、水行政、农业农村、文化和旅游、林业、海洋与渔业、城市管理等主管部门按照各自职责，做好绿心保护有关工作。</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6"/>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 xml:space="preserve">第五条 </w:t>
      </w:r>
      <w:r>
        <w:rPr>
          <w:rFonts w:hint="eastAsia" w:hAnsi="仿宋" w:eastAsia="仿宋_GB2312" w:cs="仿宋"/>
          <w:kern w:val="0"/>
          <w:sz w:val="32"/>
          <w:szCs w:val="32"/>
          <w:lang w:val="zh-CN"/>
        </w:rPr>
        <w:t xml:space="preserve"> 市、区人民政府应当</w:t>
      </w:r>
      <w:r>
        <w:rPr>
          <w:rFonts w:hint="eastAsia" w:hAnsi="仿宋" w:eastAsia="仿宋_GB2312" w:cs="黑体"/>
          <w:kern w:val="0"/>
          <w:sz w:val="32"/>
          <w:szCs w:val="32"/>
          <w:lang w:val="zh-CN"/>
        </w:rPr>
        <w:t>将</w:t>
      </w:r>
      <w:r>
        <w:rPr>
          <w:rFonts w:hint="eastAsia" w:hAnsi="仿宋" w:eastAsia="仿宋_GB2312" w:cs="仿宋"/>
          <w:kern w:val="0"/>
          <w:sz w:val="32"/>
          <w:szCs w:val="32"/>
          <w:lang w:val="zh-CN"/>
        </w:rPr>
        <w:t>绿心保护</w:t>
      </w:r>
      <w:r>
        <w:rPr>
          <w:rFonts w:hint="eastAsia" w:hAnsi="仿宋" w:eastAsia="仿宋_GB2312" w:cs="黑体"/>
          <w:kern w:val="0"/>
          <w:sz w:val="32"/>
          <w:szCs w:val="32"/>
          <w:lang w:val="zh-CN"/>
        </w:rPr>
        <w:t>经费</w:t>
      </w:r>
      <w:r>
        <w:rPr>
          <w:rFonts w:hint="eastAsia" w:hAnsi="仿宋" w:eastAsia="仿宋_GB2312" w:cs="仿宋"/>
          <w:kern w:val="0"/>
          <w:sz w:val="32"/>
          <w:szCs w:val="32"/>
          <w:lang w:val="zh-CN"/>
        </w:rPr>
        <w:t>纳入本级预算，</w:t>
      </w:r>
      <w:r>
        <w:rPr>
          <w:rFonts w:hint="eastAsia" w:hAnsi="仿宋" w:eastAsia="仿宋_GB2312" w:cs="黑体"/>
          <w:kern w:val="0"/>
          <w:sz w:val="32"/>
          <w:szCs w:val="32"/>
          <w:lang w:val="zh-CN"/>
        </w:rPr>
        <w:t>专款专用</w:t>
      </w:r>
      <w:r>
        <w:rPr>
          <w:rFonts w:hint="eastAsia" w:hAnsi="仿宋" w:eastAsia="仿宋_GB2312" w:cs="仿宋"/>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spacing w:val="-4"/>
          <w:kern w:val="0"/>
          <w:sz w:val="32"/>
          <w:szCs w:val="32"/>
          <w:lang w:val="zh-CN"/>
        </w:rPr>
      </w:pPr>
      <w:r>
        <w:rPr>
          <w:rFonts w:hint="eastAsia" w:ascii="黑体" w:hAnsi="黑体" w:eastAsia="黑体" w:cs="黑体"/>
          <w:b w:val="0"/>
          <w:bCs w:val="0"/>
          <w:kern w:val="0"/>
          <w:sz w:val="32"/>
          <w:szCs w:val="32"/>
          <w:lang w:val="zh-CN"/>
        </w:rPr>
        <w:t>第六条</w:t>
      </w:r>
      <w:r>
        <w:rPr>
          <w:rFonts w:hint="eastAsia" w:hAnsi="仿宋" w:eastAsia="仿宋_GB2312" w:cs="仿宋"/>
          <w:kern w:val="0"/>
          <w:sz w:val="32"/>
          <w:szCs w:val="32"/>
          <w:lang w:val="zh-CN"/>
        </w:rPr>
        <w:t xml:space="preserve">  </w:t>
      </w:r>
      <w:r>
        <w:rPr>
          <w:rFonts w:hint="eastAsia" w:hAnsi="仿宋" w:eastAsia="仿宋_GB2312" w:cs="仿宋"/>
          <w:spacing w:val="-4"/>
          <w:kern w:val="0"/>
          <w:sz w:val="32"/>
          <w:szCs w:val="32"/>
          <w:lang w:val="zh-CN"/>
        </w:rPr>
        <w:t>市、区人民政府及有关</w:t>
      </w:r>
      <w:r>
        <w:rPr>
          <w:rFonts w:hint="eastAsia" w:hAnsi="仿宋" w:eastAsia="仿宋_GB2312" w:cs="黑体"/>
          <w:spacing w:val="-4"/>
          <w:kern w:val="0"/>
          <w:sz w:val="32"/>
          <w:szCs w:val="32"/>
          <w:lang w:val="zh-CN"/>
        </w:rPr>
        <w:t>主管</w:t>
      </w:r>
      <w:r>
        <w:rPr>
          <w:rFonts w:hint="eastAsia" w:hAnsi="仿宋" w:eastAsia="仿宋_GB2312" w:cs="仿宋"/>
          <w:spacing w:val="-4"/>
          <w:kern w:val="0"/>
          <w:sz w:val="32"/>
          <w:szCs w:val="32"/>
          <w:lang w:val="zh-CN"/>
        </w:rPr>
        <w:t>部门应当利用广播、电视、报刊、网络等媒体，开展绿心保护宣传教育，提高公众保护意识。</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鼓励企业事业单位、社会组织、志愿团体以及市民参与绿心保护</w:t>
      </w:r>
      <w:r>
        <w:rPr>
          <w:rFonts w:hint="eastAsia" w:hAnsi="仿宋" w:eastAsia="仿宋_GB2312" w:cs="黑体"/>
          <w:kern w:val="0"/>
          <w:sz w:val="32"/>
          <w:szCs w:val="32"/>
          <w:lang w:val="zh-CN"/>
        </w:rPr>
        <w:t>工作</w:t>
      </w:r>
      <w:r>
        <w:rPr>
          <w:rFonts w:hint="eastAsia" w:hAnsi="仿宋" w:eastAsia="仿宋_GB2312" w:cs="仿宋"/>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before="313" w:beforeLines="100" w:after="313" w:afterLines="100" w:line="580" w:lineRule="exact"/>
        <w:jc w:val="center"/>
        <w:textAlignment w:val="auto"/>
        <w:rPr>
          <w:rFonts w:hint="eastAsia" w:ascii="黑体" w:hAnsi="黑体" w:eastAsia="黑体" w:cs="仿宋"/>
          <w:bCs/>
          <w:kern w:val="0"/>
          <w:sz w:val="32"/>
          <w:szCs w:val="32"/>
        </w:rPr>
      </w:pPr>
      <w:r>
        <w:rPr>
          <w:rFonts w:hint="eastAsia" w:ascii="黑体" w:hAnsi="黑体" w:eastAsia="黑体" w:cs="仿宋"/>
          <w:bCs/>
          <w:kern w:val="0"/>
          <w:sz w:val="32"/>
          <w:szCs w:val="32"/>
        </w:rPr>
        <w:t>第二章  规划与建设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第七条</w:t>
      </w:r>
      <w:r>
        <w:rPr>
          <w:rFonts w:hint="eastAsia" w:hAnsi="仿宋" w:eastAsia="仿宋_GB2312" w:cs="仿宋"/>
          <w:bCs/>
          <w:kern w:val="0"/>
          <w:sz w:val="32"/>
          <w:szCs w:val="32"/>
          <w:lang w:val="zh-CN"/>
        </w:rPr>
        <w:t xml:space="preserve">  编制绿心规划应当</w:t>
      </w:r>
      <w:r>
        <w:rPr>
          <w:rFonts w:hint="eastAsia" w:hAnsi="仿宋" w:eastAsia="仿宋_GB2312" w:cs="黑体"/>
          <w:bCs/>
          <w:kern w:val="0"/>
          <w:sz w:val="32"/>
          <w:szCs w:val="32"/>
          <w:lang w:val="zh-CN"/>
        </w:rPr>
        <w:t>依据</w:t>
      </w:r>
      <w:r>
        <w:rPr>
          <w:rFonts w:hint="eastAsia" w:hAnsi="仿宋" w:eastAsia="仿宋_GB2312" w:cs="仿宋"/>
          <w:bCs/>
          <w:kern w:val="0"/>
          <w:sz w:val="32"/>
          <w:szCs w:val="32"/>
          <w:lang w:val="zh-CN"/>
        </w:rPr>
        <w:t>莆田市国土空间总体规划，坚持山、水、林、田、湖、草、湿地系统治理</w:t>
      </w:r>
      <w:r>
        <w:rPr>
          <w:rFonts w:hint="eastAsia" w:hAnsi="仿宋" w:eastAsia="仿宋_GB2312" w:cs="黑体"/>
          <w:bCs/>
          <w:kern w:val="0"/>
          <w:sz w:val="32"/>
          <w:szCs w:val="32"/>
          <w:lang w:val="zh-CN"/>
        </w:rPr>
        <w:t>和</w:t>
      </w:r>
      <w:r>
        <w:rPr>
          <w:rFonts w:hint="eastAsia" w:hAnsi="仿宋" w:eastAsia="仿宋_GB2312" w:cs="仿宋"/>
          <w:bCs/>
          <w:kern w:val="0"/>
          <w:sz w:val="32"/>
          <w:szCs w:val="32"/>
          <w:lang w:val="zh-CN"/>
        </w:rPr>
        <w:t>城乡协调建设的原则，明确</w:t>
      </w:r>
      <w:r>
        <w:rPr>
          <w:rFonts w:hint="eastAsia" w:hAnsi="仿宋" w:eastAsia="仿宋_GB2312" w:cs="黑体"/>
          <w:bCs/>
          <w:kern w:val="0"/>
          <w:sz w:val="32"/>
          <w:szCs w:val="32"/>
          <w:lang w:val="zh-CN"/>
        </w:rPr>
        <w:t>城市、镇村开发</w:t>
      </w:r>
      <w:r>
        <w:rPr>
          <w:rFonts w:hint="eastAsia" w:hAnsi="仿宋" w:eastAsia="仿宋_GB2312" w:cs="仿宋"/>
          <w:bCs/>
          <w:kern w:val="0"/>
          <w:sz w:val="32"/>
          <w:szCs w:val="32"/>
          <w:lang w:val="zh-CN"/>
        </w:rPr>
        <w:t>建设边界和生态环境保护、耕地保护、水陆交通建设、</w:t>
      </w:r>
      <w:r>
        <w:rPr>
          <w:rFonts w:hint="eastAsia" w:hAnsi="仿宋" w:eastAsia="仿宋_GB2312" w:cs="黑体"/>
          <w:bCs/>
          <w:kern w:val="0"/>
          <w:sz w:val="32"/>
          <w:szCs w:val="32"/>
          <w:lang w:val="zh-CN"/>
        </w:rPr>
        <w:t>公共服务</w:t>
      </w:r>
      <w:r>
        <w:rPr>
          <w:rFonts w:hint="eastAsia" w:hAnsi="仿宋" w:eastAsia="仿宋_GB2312" w:cs="仿宋"/>
          <w:bCs/>
          <w:kern w:val="0"/>
          <w:sz w:val="32"/>
          <w:szCs w:val="32"/>
          <w:lang w:val="zh-CN"/>
        </w:rPr>
        <w:t>设施建设、历史文化遗产保护等方面的规划要求，保护</w:t>
      </w:r>
      <w:r>
        <w:rPr>
          <w:rFonts w:hint="eastAsia" w:ascii="仿宋_GB2312" w:hAnsi="仿宋_GB2312" w:eastAsia="仿宋_GB2312" w:cs="仿宋_GB2312"/>
          <w:bCs/>
          <w:kern w:val="0"/>
          <w:sz w:val="32"/>
          <w:szCs w:val="32"/>
          <w:lang w:val="zh-CN"/>
        </w:rPr>
        <w:t>“</w:t>
      </w:r>
      <w:r>
        <w:rPr>
          <w:rFonts w:hint="eastAsia" w:hAnsi="仿宋" w:eastAsia="仿宋_GB2312" w:cs="仿宋"/>
          <w:bCs/>
          <w:kern w:val="0"/>
          <w:sz w:val="32"/>
          <w:szCs w:val="32"/>
          <w:lang w:val="zh-CN"/>
        </w:rPr>
        <w:t>荔林水乡</w:t>
      </w:r>
      <w:r>
        <w:rPr>
          <w:rFonts w:hint="eastAsia" w:ascii="仿宋_GB2312" w:hAnsi="仿宋_GB2312" w:eastAsia="仿宋_GB2312" w:cs="仿宋_GB2312"/>
          <w:bCs/>
          <w:kern w:val="0"/>
          <w:sz w:val="32"/>
          <w:szCs w:val="32"/>
          <w:lang w:val="zh-CN"/>
        </w:rPr>
        <w:t>”</w:t>
      </w:r>
      <w:r>
        <w:rPr>
          <w:rFonts w:hint="eastAsia" w:hAnsi="仿宋" w:eastAsia="仿宋_GB2312" w:cs="仿宋"/>
          <w:bCs/>
          <w:kern w:val="0"/>
          <w:sz w:val="32"/>
          <w:szCs w:val="32"/>
          <w:lang w:val="zh-CN"/>
        </w:rPr>
        <w:t>景观、</w:t>
      </w:r>
      <w:r>
        <w:rPr>
          <w:rFonts w:hint="eastAsia" w:hAnsi="仿宋" w:eastAsia="仿宋_GB2312" w:cs="黑体"/>
          <w:bCs/>
          <w:kern w:val="0"/>
          <w:sz w:val="32"/>
          <w:szCs w:val="32"/>
          <w:lang w:val="zh-CN"/>
        </w:rPr>
        <w:t>田园风光和</w:t>
      </w:r>
      <w:r>
        <w:rPr>
          <w:rFonts w:hint="eastAsia" w:hAnsi="仿宋" w:eastAsia="仿宋_GB2312" w:cs="仿宋"/>
          <w:bCs/>
          <w:kern w:val="0"/>
          <w:sz w:val="32"/>
          <w:szCs w:val="32"/>
          <w:lang w:val="zh-CN"/>
        </w:rPr>
        <w:t>人文历史风貌。</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kern w:val="0"/>
          <w:sz w:val="32"/>
          <w:szCs w:val="32"/>
          <w:lang w:val="zh-CN"/>
        </w:rPr>
      </w:pPr>
      <w:r>
        <w:rPr>
          <w:rFonts w:hint="eastAsia" w:ascii="黑体" w:hAnsi="黑体" w:eastAsia="黑体" w:cs="黑体"/>
          <w:b w:val="0"/>
          <w:bCs w:val="0"/>
          <w:kern w:val="0"/>
          <w:sz w:val="32"/>
          <w:szCs w:val="32"/>
          <w:lang w:val="zh-CN"/>
        </w:rPr>
        <w:t>第八条</w:t>
      </w:r>
      <w:r>
        <w:rPr>
          <w:rFonts w:hint="eastAsia" w:hAnsi="仿宋" w:eastAsia="仿宋_GB2312" w:cs="仿宋"/>
          <w:kern w:val="0"/>
          <w:sz w:val="32"/>
          <w:szCs w:val="32"/>
          <w:lang w:val="zh-CN"/>
        </w:rPr>
        <w:t xml:space="preserve">  </w:t>
      </w:r>
      <w:r>
        <w:rPr>
          <w:rFonts w:hint="eastAsia" w:hAnsi="仿宋" w:eastAsia="仿宋_GB2312" w:cs="仿宋"/>
          <w:bCs/>
          <w:kern w:val="0"/>
          <w:sz w:val="32"/>
          <w:szCs w:val="32"/>
          <w:lang w:val="zh-CN"/>
        </w:rPr>
        <w:t>绿心规划</w:t>
      </w:r>
      <w:r>
        <w:rPr>
          <w:rFonts w:hint="eastAsia" w:hAnsi="仿宋" w:eastAsia="仿宋_GB2312" w:cs="仿宋"/>
          <w:kern w:val="0"/>
          <w:sz w:val="32"/>
          <w:szCs w:val="32"/>
          <w:lang w:val="zh-CN"/>
        </w:rPr>
        <w:t>由</w:t>
      </w:r>
      <w:r>
        <w:rPr>
          <w:rFonts w:hint="eastAsia" w:hAnsi="仿宋" w:eastAsia="仿宋_GB2312" w:cs="黑体"/>
          <w:kern w:val="0"/>
          <w:sz w:val="32"/>
          <w:szCs w:val="32"/>
          <w:lang w:val="zh-CN"/>
        </w:rPr>
        <w:t>市自然资源主管部门组织编制，报市人民政府审批。市人民政府在审批前，应当提请市人民代表大会常务委员会审议，对审议意见进行研究处理，并在规定的期限内向市人民代表大会常务委员会书面报告研究处理情况。</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kern w:val="0"/>
          <w:sz w:val="32"/>
          <w:szCs w:val="32"/>
          <w:lang w:val="zh-CN"/>
        </w:rPr>
      </w:pPr>
      <w:r>
        <w:rPr>
          <w:rFonts w:hint="eastAsia" w:hAnsi="仿宋" w:eastAsia="仿宋_GB2312" w:cs="黑体"/>
          <w:kern w:val="0"/>
          <w:sz w:val="32"/>
          <w:szCs w:val="32"/>
          <w:lang w:val="zh-CN"/>
        </w:rPr>
        <w:t>绿心规划经批准后向社会公布，报市人民代表大会常务委员会备案。</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kern w:val="0"/>
          <w:sz w:val="32"/>
          <w:szCs w:val="32"/>
          <w:lang w:val="zh-CN"/>
        </w:rPr>
      </w:pPr>
      <w:r>
        <w:rPr>
          <w:rFonts w:hint="eastAsia" w:hAnsi="仿宋" w:eastAsia="仿宋_GB2312" w:cs="黑体"/>
          <w:kern w:val="0"/>
          <w:sz w:val="32"/>
          <w:szCs w:val="32"/>
          <w:lang w:val="zh-CN"/>
        </w:rPr>
        <w:t>因公共利益、自然条件变化、省级以上重大项目建设等需要修改绿心规划的，市人民政府应当组织有关部门和专家进行评估，征求公众意见，向市人民代表大会常务委员会提出评估报告并附具征求意见的情况。经市人民代表大会常务委员会审议，认为确需修改的，按照原程序办理。</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第九条</w:t>
      </w:r>
      <w:r>
        <w:rPr>
          <w:rFonts w:hint="eastAsia" w:hAnsi="仿宋" w:eastAsia="仿宋_GB2312" w:cs="仿宋"/>
          <w:bCs/>
          <w:kern w:val="0"/>
          <w:sz w:val="32"/>
          <w:szCs w:val="32"/>
        </w:rPr>
        <w:t xml:space="preserve">  </w:t>
      </w:r>
      <w:r>
        <w:rPr>
          <w:rFonts w:hint="eastAsia" w:hAnsi="仿宋" w:eastAsia="仿宋_GB2312" w:cs="黑体"/>
          <w:bCs/>
          <w:kern w:val="0"/>
          <w:sz w:val="32"/>
          <w:szCs w:val="32"/>
          <w:lang w:val="zh-CN"/>
        </w:rPr>
        <w:t>绿心划分为禁止建设区、限制建设区和引导建设区，具体范围由绿心规划确定。</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bCs/>
          <w:kern w:val="0"/>
          <w:sz w:val="32"/>
          <w:szCs w:val="32"/>
          <w:lang w:val="zh-CN"/>
        </w:rPr>
      </w:pPr>
      <w:r>
        <w:rPr>
          <w:rFonts w:hint="eastAsia" w:hAnsi="仿宋" w:eastAsia="仿宋_GB2312" w:cs="黑体"/>
          <w:bCs/>
          <w:kern w:val="0"/>
          <w:sz w:val="32"/>
          <w:szCs w:val="32"/>
          <w:lang w:val="zh-CN"/>
        </w:rPr>
        <w:t>在禁止建设区内，除水利工程、水上交通、农田灌溉、机耕道等必要的公共设施和生态保护修复设施建设外，不得进行其他项目建设。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bCs/>
          <w:kern w:val="0"/>
          <w:sz w:val="32"/>
          <w:szCs w:val="32"/>
          <w:lang w:val="zh-CN"/>
        </w:rPr>
      </w:pPr>
      <w:r>
        <w:rPr>
          <w:rFonts w:hint="eastAsia" w:hAnsi="仿宋" w:eastAsia="仿宋_GB2312" w:cs="黑体"/>
          <w:bCs/>
          <w:kern w:val="0"/>
          <w:sz w:val="32"/>
          <w:szCs w:val="32"/>
          <w:lang w:val="zh-CN"/>
        </w:rPr>
        <w:t>在限制建设区内，除前款规定可以进行的建设和土地整理、村庄整治、村民住宅建设、公共服务设施建设、旅游休闲设施建设外，不得进行其他项目建设。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bCs/>
          <w:kern w:val="0"/>
          <w:sz w:val="32"/>
          <w:szCs w:val="32"/>
          <w:lang w:val="zh-CN"/>
        </w:rPr>
      </w:pPr>
      <w:r>
        <w:rPr>
          <w:rFonts w:hint="eastAsia" w:hAnsi="仿宋" w:eastAsia="仿宋_GB2312" w:cs="黑体"/>
          <w:bCs/>
          <w:kern w:val="0"/>
          <w:sz w:val="32"/>
          <w:szCs w:val="32"/>
          <w:lang w:val="zh-CN"/>
        </w:rPr>
        <w:t>在引导建设区内，可以根据绿心发展需要进行项目建设。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第十条</w:t>
      </w:r>
      <w:r>
        <w:rPr>
          <w:rFonts w:hint="eastAsia" w:hAnsi="仿宋" w:eastAsia="仿宋_GB2312" w:cs="仿宋"/>
          <w:bCs/>
          <w:kern w:val="0"/>
          <w:sz w:val="32"/>
          <w:szCs w:val="32"/>
          <w:lang w:val="zh-CN"/>
        </w:rPr>
        <w:t xml:space="preserve">  市、区人民政府应当加强绿心产业发展引导，支持发展生态农业、旅游休闲和文化创意等特色产业。</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hAnsi="仿宋" w:eastAsia="仿宋_GB2312" w:cs="仿宋"/>
          <w:bCs/>
          <w:kern w:val="0"/>
          <w:sz w:val="32"/>
          <w:szCs w:val="32"/>
          <w:lang w:val="zh-CN"/>
        </w:rPr>
        <w:t>除传统手工业外，工业项目应当</w:t>
      </w:r>
      <w:r>
        <w:rPr>
          <w:rFonts w:hint="eastAsia" w:hAnsi="仿宋" w:eastAsia="仿宋_GB2312" w:cs="仿宋"/>
          <w:kern w:val="0"/>
          <w:sz w:val="32"/>
          <w:szCs w:val="32"/>
          <w:lang w:val="zh-CN"/>
        </w:rPr>
        <w:t>逐步退出。</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 xml:space="preserve">第十一条 </w:t>
      </w:r>
      <w:r>
        <w:rPr>
          <w:rFonts w:hint="eastAsia" w:hAnsi="仿宋" w:eastAsia="仿宋_GB2312" w:cs="仿宋"/>
          <w:bCs/>
          <w:kern w:val="0"/>
          <w:sz w:val="32"/>
          <w:szCs w:val="32"/>
          <w:lang w:val="zh-CN"/>
        </w:rPr>
        <w:t xml:space="preserve"> 市交通运输、水行政</w:t>
      </w:r>
      <w:r>
        <w:rPr>
          <w:rFonts w:hint="eastAsia" w:hAnsi="仿宋" w:eastAsia="仿宋_GB2312" w:cs="黑体"/>
          <w:bCs/>
          <w:kern w:val="0"/>
          <w:sz w:val="32"/>
          <w:szCs w:val="32"/>
          <w:lang w:val="zh-CN"/>
        </w:rPr>
        <w:t>、文化和旅游</w:t>
      </w:r>
      <w:r>
        <w:rPr>
          <w:rFonts w:hint="eastAsia" w:hAnsi="仿宋" w:eastAsia="仿宋_GB2312" w:cs="仿宋"/>
          <w:bCs/>
          <w:kern w:val="0"/>
          <w:sz w:val="32"/>
          <w:szCs w:val="32"/>
          <w:lang w:val="zh-CN"/>
        </w:rPr>
        <w:t>主管部门应当制定绿心水上交通专项规划。</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水行政主管部门</w:t>
      </w:r>
      <w:r>
        <w:rPr>
          <w:rFonts w:hint="eastAsia" w:hAnsi="仿宋" w:eastAsia="仿宋_GB2312" w:cs="黑体"/>
          <w:bCs/>
          <w:kern w:val="0"/>
          <w:sz w:val="32"/>
          <w:szCs w:val="32"/>
          <w:lang w:val="zh-CN"/>
        </w:rPr>
        <w:t>和镇人民政府（街道办事处）</w:t>
      </w:r>
      <w:r>
        <w:rPr>
          <w:rFonts w:hint="eastAsia" w:hAnsi="仿宋" w:eastAsia="仿宋_GB2312" w:cs="仿宋"/>
          <w:bCs/>
          <w:kern w:val="0"/>
          <w:sz w:val="32"/>
          <w:szCs w:val="32"/>
          <w:lang w:val="zh-CN"/>
        </w:rPr>
        <w:t>应当定期开展清淤清障，疏通绿心水系，实施岸线生态修复，建设蓄滞水面，提升绿心的洪水调蓄和生态涵养能力。</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 xml:space="preserve">第十二条 </w:t>
      </w:r>
      <w:r>
        <w:rPr>
          <w:rFonts w:hint="eastAsia" w:hAnsi="仿宋" w:eastAsia="仿宋_GB2312" w:cs="仿宋"/>
          <w:kern w:val="0"/>
          <w:sz w:val="32"/>
          <w:szCs w:val="32"/>
          <w:lang w:val="zh-CN"/>
        </w:rPr>
        <w:t xml:space="preserve"> </w:t>
      </w:r>
      <w:r>
        <w:rPr>
          <w:rFonts w:hint="eastAsia" w:hAnsi="仿宋" w:eastAsia="仿宋_GB2312" w:cs="黑体"/>
          <w:kern w:val="0"/>
          <w:sz w:val="32"/>
          <w:szCs w:val="32"/>
          <w:lang w:val="zh-CN"/>
        </w:rPr>
        <w:t>住房和城乡建设、</w:t>
      </w:r>
      <w:r>
        <w:rPr>
          <w:rFonts w:hint="eastAsia" w:hAnsi="仿宋" w:eastAsia="仿宋_GB2312" w:cs="仿宋"/>
          <w:kern w:val="0"/>
          <w:sz w:val="32"/>
          <w:szCs w:val="32"/>
          <w:lang w:val="zh-CN"/>
        </w:rPr>
        <w:t>交通</w:t>
      </w:r>
      <w:r>
        <w:rPr>
          <w:rFonts w:hint="eastAsia" w:hAnsi="仿宋" w:eastAsia="仿宋_GB2312" w:cs="黑体"/>
          <w:kern w:val="0"/>
          <w:sz w:val="32"/>
          <w:szCs w:val="32"/>
          <w:lang w:val="zh-CN"/>
        </w:rPr>
        <w:t>运输</w:t>
      </w:r>
      <w:r>
        <w:rPr>
          <w:rFonts w:hint="eastAsia" w:hAnsi="仿宋" w:eastAsia="仿宋_GB2312" w:cs="仿宋"/>
          <w:kern w:val="0"/>
          <w:sz w:val="32"/>
          <w:szCs w:val="32"/>
          <w:lang w:val="zh-CN"/>
        </w:rPr>
        <w:t>主管部门和镇人民政府</w:t>
      </w:r>
      <w:r>
        <w:rPr>
          <w:rFonts w:hint="eastAsia" w:hAnsi="仿宋" w:eastAsia="仿宋_GB2312" w:cs="黑体"/>
          <w:kern w:val="0"/>
          <w:sz w:val="32"/>
          <w:szCs w:val="32"/>
        </w:rPr>
        <w:t>（街道办事处）应当按照各自职责，</w:t>
      </w:r>
      <w:r>
        <w:rPr>
          <w:rFonts w:hint="eastAsia" w:hAnsi="仿宋" w:eastAsia="仿宋_GB2312" w:cs="黑体"/>
          <w:kern w:val="0"/>
          <w:sz w:val="32"/>
          <w:szCs w:val="32"/>
          <w:lang w:val="zh-CN"/>
        </w:rPr>
        <w:t>对</w:t>
      </w:r>
      <w:r>
        <w:rPr>
          <w:rFonts w:hint="eastAsia" w:hAnsi="仿宋" w:eastAsia="仿宋_GB2312" w:cs="仿宋"/>
          <w:kern w:val="0"/>
          <w:sz w:val="32"/>
          <w:szCs w:val="32"/>
          <w:lang w:val="zh-CN"/>
        </w:rPr>
        <w:t>绿心道路</w:t>
      </w:r>
      <w:r>
        <w:rPr>
          <w:rFonts w:hint="eastAsia" w:hAnsi="仿宋" w:eastAsia="仿宋_GB2312" w:cs="黑体"/>
          <w:kern w:val="0"/>
          <w:sz w:val="32"/>
          <w:szCs w:val="32"/>
          <w:lang w:val="zh-CN"/>
        </w:rPr>
        <w:t>进行</w:t>
      </w:r>
      <w:r>
        <w:rPr>
          <w:rFonts w:hint="eastAsia" w:hAnsi="仿宋" w:eastAsia="仿宋_GB2312" w:cs="仿宋"/>
          <w:kern w:val="0"/>
          <w:sz w:val="32"/>
          <w:szCs w:val="32"/>
          <w:lang w:val="zh-CN"/>
        </w:rPr>
        <w:t>整治、改造和提升。</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除省级</w:t>
      </w:r>
      <w:r>
        <w:rPr>
          <w:rFonts w:hint="eastAsia" w:hAnsi="仿宋" w:eastAsia="仿宋_GB2312" w:cs="黑体"/>
          <w:kern w:val="0"/>
          <w:sz w:val="32"/>
          <w:szCs w:val="32"/>
          <w:lang w:val="zh-CN"/>
        </w:rPr>
        <w:t>以上交通基础设施建设和已列入道路交通规划的建设项目</w:t>
      </w:r>
      <w:r>
        <w:rPr>
          <w:rFonts w:hint="eastAsia" w:hAnsi="仿宋" w:eastAsia="仿宋_GB2312" w:cs="仿宋"/>
          <w:kern w:val="0"/>
          <w:sz w:val="32"/>
          <w:szCs w:val="32"/>
          <w:lang w:val="zh-CN"/>
        </w:rPr>
        <w:t>外，绿心内不得新建道路。</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第十三条</w:t>
      </w:r>
      <w:r>
        <w:rPr>
          <w:rFonts w:hint="eastAsia" w:hAnsi="仿宋" w:eastAsia="仿宋_GB2312" w:cs="仿宋"/>
          <w:bCs/>
          <w:kern w:val="0"/>
          <w:sz w:val="32"/>
          <w:szCs w:val="32"/>
          <w:lang w:val="zh-CN"/>
        </w:rPr>
        <w:t xml:space="preserve">  绿心村庄划分为特色保护类、优化提升类和一般保留类。历史文化</w:t>
      </w:r>
      <w:r>
        <w:rPr>
          <w:rFonts w:hint="eastAsia" w:hAnsi="仿宋" w:eastAsia="仿宋_GB2312" w:cs="黑体"/>
          <w:bCs/>
          <w:kern w:val="0"/>
          <w:sz w:val="32"/>
          <w:szCs w:val="32"/>
          <w:lang w:val="zh-CN"/>
        </w:rPr>
        <w:t>名村、</w:t>
      </w:r>
      <w:r>
        <w:rPr>
          <w:rFonts w:hint="eastAsia" w:hAnsi="仿宋" w:eastAsia="仿宋_GB2312" w:cs="仿宋"/>
          <w:bCs/>
          <w:kern w:val="0"/>
          <w:sz w:val="32"/>
          <w:szCs w:val="32"/>
          <w:lang w:val="zh-CN"/>
        </w:rPr>
        <w:t>传统村落或者莆田传统民居风貌保存完整的村庄，列入特色保护类；</w:t>
      </w:r>
      <w:r>
        <w:rPr>
          <w:rFonts w:hint="eastAsia" w:hAnsi="仿宋" w:eastAsia="仿宋_GB2312" w:cs="黑体"/>
          <w:bCs/>
          <w:kern w:val="0"/>
          <w:sz w:val="32"/>
          <w:szCs w:val="32"/>
          <w:lang w:val="zh-CN"/>
        </w:rPr>
        <w:t>位于绿心重要风貌控制区域或者</w:t>
      </w:r>
      <w:r>
        <w:rPr>
          <w:rFonts w:hint="eastAsia" w:hAnsi="仿宋" w:eastAsia="仿宋_GB2312" w:cs="仿宋"/>
          <w:bCs/>
          <w:kern w:val="0"/>
          <w:sz w:val="32"/>
          <w:szCs w:val="32"/>
          <w:lang w:val="zh-CN"/>
        </w:rPr>
        <w:t>具备传统手工业基础的村庄，列入优化提升类；其他不具备以上条件的村庄，列入一般保留类。</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特色保护类、优化提升类村庄可以划定村庄增长边界。一般保留类村庄不得扩大现有的村庄建设边界。</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区人民政府应当组织镇人民政府依据绿心规划，依法编制或者修订村庄规划。</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27" w:firstLineChars="196"/>
        <w:textAlignment w:val="auto"/>
        <w:rPr>
          <w:rFonts w:hint="eastAsia" w:hAnsi="仿宋" w:eastAsia="仿宋_GB2312" w:cs="黑体"/>
          <w:kern w:val="0"/>
          <w:sz w:val="32"/>
          <w:szCs w:val="32"/>
        </w:rPr>
      </w:pPr>
      <w:r>
        <w:rPr>
          <w:rFonts w:hint="eastAsia" w:ascii="黑体" w:hAnsi="黑体" w:eastAsia="黑体" w:cs="黑体"/>
          <w:b w:val="0"/>
          <w:bCs w:val="0"/>
          <w:kern w:val="0"/>
          <w:sz w:val="32"/>
          <w:szCs w:val="32"/>
          <w:lang w:val="zh-CN"/>
        </w:rPr>
        <w:t xml:space="preserve">第十四条 </w:t>
      </w:r>
      <w:r>
        <w:rPr>
          <w:rFonts w:hint="eastAsia" w:hAnsi="仿宋" w:eastAsia="仿宋_GB2312" w:cs="黑体"/>
          <w:kern w:val="0"/>
          <w:sz w:val="32"/>
          <w:szCs w:val="32"/>
        </w:rPr>
        <w:t xml:space="preserve"> </w:t>
      </w:r>
      <w:r>
        <w:rPr>
          <w:rFonts w:hint="eastAsia" w:hAnsi="仿宋" w:eastAsia="仿宋_GB2312" w:cs="黑体"/>
          <w:bCs/>
          <w:kern w:val="0"/>
          <w:sz w:val="32"/>
          <w:szCs w:val="32"/>
        </w:rPr>
        <w:t>市住房和城乡建设主管部门应当依据省村民住宅建设技术标准，制定</w:t>
      </w:r>
      <w:r>
        <w:rPr>
          <w:rFonts w:hint="eastAsia" w:hAnsi="仿宋" w:eastAsia="仿宋_GB2312" w:cs="黑体"/>
          <w:kern w:val="0"/>
          <w:sz w:val="32"/>
          <w:szCs w:val="32"/>
        </w:rPr>
        <w:t>体现莆田传统民居风格的通用图集。</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27" w:firstLineChars="196"/>
        <w:textAlignment w:val="auto"/>
        <w:rPr>
          <w:rFonts w:hint="eastAsia" w:hAnsi="仿宋" w:eastAsia="仿宋_GB2312" w:cs="黑体"/>
          <w:kern w:val="0"/>
          <w:sz w:val="32"/>
          <w:szCs w:val="32"/>
        </w:rPr>
      </w:pPr>
      <w:r>
        <w:rPr>
          <w:rFonts w:hint="eastAsia" w:hAnsi="仿宋" w:eastAsia="仿宋_GB2312" w:cs="黑体"/>
          <w:kern w:val="0"/>
          <w:sz w:val="32"/>
          <w:szCs w:val="32"/>
        </w:rPr>
        <w:t>自然资源、农业农村主管部门和镇人民政府（街道办事处）应当依法加强绿心村民住宅建设的审批管理，严格按照有关规划和通用图集的要求组织建设，逐步对与村庄整体建筑风貌不协调的村民住宅进行改造或者整饰。</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kern w:val="0"/>
          <w:sz w:val="32"/>
          <w:szCs w:val="32"/>
        </w:rPr>
      </w:pPr>
      <w:r>
        <w:rPr>
          <w:rFonts w:hint="eastAsia" w:hAnsi="仿宋" w:eastAsia="仿宋_GB2312" w:cs="黑体"/>
          <w:kern w:val="0"/>
          <w:sz w:val="32"/>
          <w:szCs w:val="32"/>
        </w:rPr>
        <w:t>因绿心项目建设需要搬迁安置的，应当在引导建设区或者绿心范围外选址；零星搬迁安置的，可以结合村庄整治在限制建设区选址。</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kern w:val="0"/>
          <w:sz w:val="32"/>
          <w:szCs w:val="32"/>
        </w:rPr>
      </w:pPr>
      <w:r>
        <w:rPr>
          <w:rFonts w:hint="eastAsia" w:hAnsi="仿宋" w:eastAsia="仿宋_GB2312" w:cs="黑体"/>
          <w:kern w:val="0"/>
          <w:sz w:val="32"/>
          <w:szCs w:val="32"/>
        </w:rPr>
        <w:t>鼓励和支持村民搬迁出绿心，具体办法由市人民政府制定。</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第十五条</w:t>
      </w:r>
      <w:r>
        <w:rPr>
          <w:rFonts w:hint="eastAsia" w:hAnsi="仿宋" w:eastAsia="仿宋_GB2312" w:cs="仿宋"/>
          <w:kern w:val="0"/>
          <w:sz w:val="32"/>
          <w:szCs w:val="32"/>
          <w:lang w:val="zh-CN"/>
        </w:rPr>
        <w:t xml:space="preserve">  涉及绿心和绿心周边地区的专项规划和详细规划应当与绿心规划相衔接。</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spacing w:val="-4"/>
          <w:kern w:val="0"/>
          <w:sz w:val="32"/>
          <w:szCs w:val="32"/>
          <w:lang w:val="zh-CN"/>
        </w:rPr>
      </w:pPr>
      <w:r>
        <w:rPr>
          <w:rFonts w:hint="eastAsia" w:hAnsi="仿宋" w:eastAsia="仿宋_GB2312" w:cs="仿宋"/>
          <w:spacing w:val="-6"/>
          <w:kern w:val="0"/>
          <w:sz w:val="32"/>
          <w:szCs w:val="32"/>
          <w:lang w:val="zh-CN"/>
        </w:rPr>
        <w:t>绿心周边地区的项目建设应当与绿心风貌相协调，严格控制建筑规模、高度、密度和风格，防止破坏绿心生态环境和景观视廊。</w:t>
      </w:r>
    </w:p>
    <w:p>
      <w:pPr>
        <w:keepNext w:val="0"/>
        <w:keepLines w:val="0"/>
        <w:pageBreakBefore w:val="0"/>
        <w:widowControl w:val="0"/>
        <w:kinsoku/>
        <w:wordWrap/>
        <w:overflowPunct/>
        <w:topLinePunct w:val="0"/>
        <w:autoSpaceDE w:val="0"/>
        <w:autoSpaceDN w:val="0"/>
        <w:bidi w:val="0"/>
        <w:adjustRightInd w:val="0"/>
        <w:snapToGrid/>
        <w:spacing w:before="313" w:beforeLines="100" w:after="313" w:afterLines="100" w:line="580" w:lineRule="exact"/>
        <w:jc w:val="center"/>
        <w:textAlignment w:val="auto"/>
        <w:rPr>
          <w:rFonts w:hint="eastAsia" w:ascii="黑体" w:hAnsi="黑体" w:eastAsia="黑体" w:cs="仿宋"/>
          <w:bCs/>
          <w:kern w:val="0"/>
          <w:sz w:val="32"/>
          <w:szCs w:val="32"/>
        </w:rPr>
      </w:pPr>
      <w:r>
        <w:rPr>
          <w:rFonts w:hint="eastAsia" w:ascii="黑体" w:hAnsi="黑体" w:eastAsia="黑体" w:cs="仿宋"/>
          <w:bCs/>
          <w:kern w:val="0"/>
          <w:sz w:val="32"/>
          <w:szCs w:val="32"/>
        </w:rPr>
        <w:t>第三章  保护与管理</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第十六条</w:t>
      </w:r>
      <w:r>
        <w:rPr>
          <w:rFonts w:hint="eastAsia" w:hAnsi="仿宋" w:eastAsia="仿宋_GB2312" w:cs="仿宋"/>
          <w:kern w:val="0"/>
          <w:sz w:val="32"/>
          <w:szCs w:val="32"/>
          <w:lang w:val="zh-CN"/>
        </w:rPr>
        <w:t xml:space="preserve">  绿心水域实行河长制、湖长制管理，水质主要指标不得低于国家《地表水环境质量标准》Ⅲ类标准。</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kern w:val="0"/>
          <w:sz w:val="32"/>
          <w:szCs w:val="32"/>
          <w:lang w:val="zh-CN"/>
        </w:rPr>
      </w:pPr>
      <w:r>
        <w:rPr>
          <w:rFonts w:hint="eastAsia" w:hAnsi="仿宋" w:eastAsia="仿宋_GB2312" w:cs="黑体"/>
          <w:kern w:val="0"/>
          <w:sz w:val="32"/>
          <w:szCs w:val="32"/>
        </w:rPr>
        <w:t>住房和城乡建设、生态环境主管部门应当按照各自职责，加强绿心生活污水管网和农村小型污水处理设施建设，统一收集处理污水，实现达标排放。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kern w:val="0"/>
          <w:sz w:val="32"/>
          <w:szCs w:val="32"/>
          <w:lang w:val="zh-CN"/>
        </w:rPr>
      </w:pPr>
      <w:r>
        <w:rPr>
          <w:rFonts w:hint="eastAsia" w:hAnsi="仿宋" w:eastAsia="仿宋_GB2312" w:cs="黑体"/>
          <w:kern w:val="0"/>
          <w:sz w:val="32"/>
          <w:szCs w:val="32"/>
          <w:lang w:val="zh-CN"/>
        </w:rPr>
        <w:t>绿心水域航行的船舶应当使用无污染的新能源动力。</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kern w:val="0"/>
          <w:sz w:val="32"/>
          <w:szCs w:val="32"/>
          <w:lang w:val="zh-CN"/>
        </w:rPr>
      </w:pPr>
      <w:r>
        <w:rPr>
          <w:rFonts w:hint="eastAsia" w:hAnsi="仿宋" w:eastAsia="仿宋_GB2312" w:cs="黑体"/>
          <w:kern w:val="0"/>
          <w:sz w:val="32"/>
          <w:szCs w:val="32"/>
          <w:lang w:val="zh-CN"/>
        </w:rPr>
        <w:t>禁止在绿心水域进行下列行为：</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spacing w:val="-11"/>
          <w:kern w:val="0"/>
          <w:sz w:val="32"/>
          <w:szCs w:val="32"/>
          <w:lang w:val="zh-CN"/>
        </w:rPr>
      </w:pPr>
      <w:r>
        <w:rPr>
          <w:rFonts w:hint="eastAsia" w:hAnsi="仿宋" w:eastAsia="仿宋_GB2312" w:cs="黑体"/>
          <w:kern w:val="0"/>
          <w:sz w:val="32"/>
          <w:szCs w:val="32"/>
          <w:lang w:val="zh-CN"/>
        </w:rPr>
        <w:t>（一）</w:t>
      </w:r>
      <w:r>
        <w:rPr>
          <w:rFonts w:hint="eastAsia" w:hAnsi="仿宋" w:eastAsia="仿宋_GB2312" w:cs="黑体"/>
          <w:spacing w:val="-11"/>
          <w:kern w:val="0"/>
          <w:sz w:val="32"/>
          <w:szCs w:val="32"/>
          <w:lang w:val="zh-CN"/>
        </w:rPr>
        <w:t>排放、倾倒废渣、废料、动物尸体和城镇垃圾等废弃物；</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kern w:val="0"/>
          <w:sz w:val="32"/>
          <w:szCs w:val="32"/>
        </w:rPr>
      </w:pPr>
      <w:r>
        <w:rPr>
          <w:rFonts w:hint="eastAsia" w:hAnsi="仿宋" w:eastAsia="仿宋_GB2312" w:cs="黑体"/>
          <w:kern w:val="0"/>
          <w:sz w:val="32"/>
          <w:szCs w:val="32"/>
        </w:rPr>
        <w:t>（二）从事餐饮、娱乐等经营活动；</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kern w:val="0"/>
          <w:sz w:val="32"/>
          <w:szCs w:val="32"/>
        </w:rPr>
      </w:pPr>
      <w:r>
        <w:rPr>
          <w:rFonts w:hint="eastAsia" w:hAnsi="仿宋" w:eastAsia="仿宋_GB2312" w:cs="黑体"/>
          <w:kern w:val="0"/>
          <w:sz w:val="32"/>
          <w:szCs w:val="32"/>
        </w:rPr>
        <w:t>（三）围湖造地、围垦河道；</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kern w:val="0"/>
          <w:sz w:val="32"/>
          <w:szCs w:val="32"/>
        </w:rPr>
      </w:pPr>
      <w:r>
        <w:rPr>
          <w:rFonts w:hint="eastAsia" w:hAnsi="仿宋" w:eastAsia="仿宋_GB2312" w:cs="黑体"/>
          <w:kern w:val="0"/>
          <w:sz w:val="32"/>
          <w:szCs w:val="32"/>
        </w:rPr>
        <w:t>（四）建设妨碍行洪的建筑物、构筑物；</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kern w:val="0"/>
          <w:sz w:val="32"/>
          <w:szCs w:val="32"/>
        </w:rPr>
      </w:pPr>
      <w:r>
        <w:rPr>
          <w:rFonts w:hint="eastAsia" w:hAnsi="仿宋" w:eastAsia="仿宋_GB2312" w:cs="黑体"/>
          <w:kern w:val="0"/>
          <w:sz w:val="32"/>
          <w:szCs w:val="32"/>
        </w:rPr>
        <w:t>（五）法律、法规禁止的其他行为。</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spacing w:val="-4"/>
          <w:kern w:val="0"/>
          <w:sz w:val="32"/>
          <w:szCs w:val="32"/>
          <w:lang w:val="zh-CN"/>
        </w:rPr>
      </w:pPr>
      <w:r>
        <w:rPr>
          <w:rFonts w:hint="eastAsia" w:ascii="黑体" w:hAnsi="黑体" w:eastAsia="黑体" w:cs="黑体"/>
          <w:b w:val="0"/>
          <w:bCs w:val="0"/>
          <w:kern w:val="0"/>
          <w:sz w:val="32"/>
          <w:szCs w:val="32"/>
          <w:lang w:val="zh-CN"/>
        </w:rPr>
        <w:t>第十七条</w:t>
      </w:r>
      <w:r>
        <w:rPr>
          <w:rFonts w:hint="eastAsia" w:hAnsi="仿宋" w:eastAsia="仿宋_GB2312" w:cs="仿宋"/>
          <w:bCs/>
          <w:kern w:val="0"/>
          <w:sz w:val="32"/>
          <w:szCs w:val="32"/>
          <w:lang w:val="zh-CN"/>
        </w:rPr>
        <w:t xml:space="preserve">  </w:t>
      </w:r>
      <w:r>
        <w:rPr>
          <w:rFonts w:hint="eastAsia" w:hAnsi="仿宋" w:eastAsia="仿宋_GB2312" w:cs="黑体"/>
          <w:bCs/>
          <w:spacing w:val="-6"/>
          <w:kern w:val="0"/>
          <w:sz w:val="32"/>
          <w:szCs w:val="32"/>
          <w:lang w:val="zh-CN"/>
        </w:rPr>
        <w:t>林业、水行政、农业农村、园林主管部门和镇人民政府（街道办事处）应当按照各自职责，加强绿心北洋平原河岸荔枝林带的补植补种和病虫害防治工作，保护</w:t>
      </w:r>
      <w:r>
        <w:rPr>
          <w:rFonts w:hint="eastAsia" w:ascii="仿宋_GB2312" w:hAnsi="仿宋_GB2312" w:eastAsia="仿宋_GB2312" w:cs="仿宋_GB2312"/>
          <w:bCs/>
          <w:spacing w:val="-6"/>
          <w:kern w:val="0"/>
          <w:sz w:val="32"/>
          <w:szCs w:val="32"/>
          <w:lang w:val="zh-CN"/>
        </w:rPr>
        <w:t>“</w:t>
      </w:r>
      <w:r>
        <w:rPr>
          <w:rFonts w:hint="eastAsia" w:hAnsi="仿宋" w:eastAsia="仿宋_GB2312" w:cs="黑体"/>
          <w:bCs/>
          <w:spacing w:val="-6"/>
          <w:kern w:val="0"/>
          <w:sz w:val="32"/>
          <w:szCs w:val="32"/>
          <w:lang w:val="zh-CN"/>
        </w:rPr>
        <w:t>荔林水乡</w:t>
      </w:r>
      <w:r>
        <w:rPr>
          <w:rFonts w:hint="eastAsia" w:ascii="仿宋_GB2312" w:hAnsi="仿宋_GB2312" w:eastAsia="仿宋_GB2312" w:cs="仿宋_GB2312"/>
          <w:bCs/>
          <w:spacing w:val="-6"/>
          <w:kern w:val="0"/>
          <w:sz w:val="32"/>
          <w:szCs w:val="32"/>
          <w:lang w:val="zh-CN"/>
        </w:rPr>
        <w:t>”</w:t>
      </w:r>
      <w:r>
        <w:rPr>
          <w:rFonts w:hint="eastAsia" w:hAnsi="仿宋" w:eastAsia="仿宋_GB2312" w:cs="黑体"/>
          <w:bCs/>
          <w:spacing w:val="-6"/>
          <w:kern w:val="0"/>
          <w:sz w:val="32"/>
          <w:szCs w:val="32"/>
          <w:lang w:val="zh-CN"/>
        </w:rPr>
        <w:t>景观。</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bCs/>
          <w:kern w:val="0"/>
          <w:sz w:val="32"/>
          <w:szCs w:val="32"/>
          <w:lang w:val="zh-CN"/>
        </w:rPr>
      </w:pPr>
      <w:r>
        <w:rPr>
          <w:rFonts w:hint="eastAsia" w:hAnsi="仿宋" w:eastAsia="仿宋_GB2312" w:cs="黑体"/>
          <w:bCs/>
          <w:kern w:val="0"/>
          <w:sz w:val="32"/>
          <w:szCs w:val="32"/>
          <w:lang w:val="zh-CN"/>
        </w:rPr>
        <w:t>鼓励和支持在绿心南洋平原河岸以梅花为主树种进行种植，形成集中连片的梅花林带。</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kern w:val="0"/>
          <w:sz w:val="32"/>
          <w:szCs w:val="32"/>
          <w:lang w:val="zh-CN"/>
        </w:rPr>
      </w:pPr>
      <w:r>
        <w:rPr>
          <w:rFonts w:hint="eastAsia" w:hAnsi="仿宋" w:eastAsia="仿宋_GB2312" w:cs="黑体"/>
          <w:kern w:val="0"/>
          <w:sz w:val="32"/>
          <w:szCs w:val="32"/>
          <w:lang w:val="zh-CN"/>
        </w:rPr>
        <w:t>除生态保护修复设施建设、抚育更新和安全需要外，不得采伐绿心的荔枝林和梅花林。因以上情况确需采伐的，应当依法办理审批手续。</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黑体"/>
          <w:bCs/>
          <w:kern w:val="0"/>
          <w:sz w:val="32"/>
          <w:szCs w:val="32"/>
          <w:lang w:val="zh-CN"/>
        </w:rPr>
        <w:t>园林主管部门和镇人民政府（街道办事处）应当对绿心林带进行花化</w:t>
      </w:r>
      <w:r>
        <w:rPr>
          <w:rFonts w:hint="eastAsia" w:hAnsi="仿宋" w:eastAsia="仿宋_GB2312" w:cs="仿宋"/>
          <w:bCs/>
          <w:kern w:val="0"/>
          <w:sz w:val="32"/>
          <w:szCs w:val="32"/>
          <w:lang w:val="zh-CN"/>
        </w:rPr>
        <w:t>、彩化、香化，形成多层次、多季节、多色彩的植物群落景观。</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第十八条</w:t>
      </w:r>
      <w:r>
        <w:rPr>
          <w:rFonts w:hint="eastAsia" w:hAnsi="仿宋" w:eastAsia="仿宋_GB2312" w:cs="仿宋"/>
          <w:kern w:val="0"/>
          <w:sz w:val="32"/>
          <w:szCs w:val="32"/>
          <w:lang w:val="zh-CN"/>
        </w:rPr>
        <w:t xml:space="preserve">  </w:t>
      </w:r>
      <w:r>
        <w:rPr>
          <w:rFonts w:hint="eastAsia" w:hAnsi="仿宋" w:eastAsia="仿宋_GB2312" w:cs="仿宋"/>
          <w:bCs/>
          <w:kern w:val="0"/>
          <w:sz w:val="32"/>
          <w:szCs w:val="32"/>
          <w:lang w:val="zh-CN"/>
        </w:rPr>
        <w:t>市园林主管部门应当对绿心古树名木资源进行调查、鉴定、定级，按照规定程序报请确认和备案，并确定编号，设置保护标志，建立管护责任制度。</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黑体"/>
          <w:bCs/>
          <w:kern w:val="0"/>
          <w:sz w:val="32"/>
          <w:szCs w:val="32"/>
          <w:lang w:val="zh-CN"/>
        </w:rPr>
      </w:pPr>
      <w:r>
        <w:rPr>
          <w:rFonts w:hint="eastAsia" w:hAnsi="仿宋" w:eastAsia="仿宋_GB2312" w:cs="黑体"/>
          <w:bCs/>
          <w:kern w:val="0"/>
          <w:sz w:val="32"/>
          <w:szCs w:val="32"/>
          <w:lang w:val="zh-CN"/>
        </w:rPr>
        <w:t>鼓励和支持以自愿捐资的方式对绿心古树名木进行认养，具体办法由市园林主管部门制定。</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黑体"/>
          <w:bCs/>
          <w:kern w:val="0"/>
          <w:sz w:val="32"/>
          <w:szCs w:val="32"/>
          <w:lang w:val="zh-CN"/>
        </w:rPr>
      </w:pPr>
      <w:r>
        <w:rPr>
          <w:rFonts w:hint="eastAsia" w:ascii="黑体" w:hAnsi="黑体" w:eastAsia="黑体" w:cs="黑体"/>
          <w:b w:val="0"/>
          <w:bCs w:val="0"/>
          <w:kern w:val="0"/>
          <w:sz w:val="32"/>
          <w:szCs w:val="32"/>
          <w:lang w:val="zh-CN"/>
        </w:rPr>
        <w:t xml:space="preserve">第十九条 </w:t>
      </w:r>
      <w:r>
        <w:rPr>
          <w:rFonts w:hint="eastAsia" w:hAnsi="仿宋" w:eastAsia="仿宋_GB2312" w:cs="黑体"/>
          <w:kern w:val="0"/>
          <w:sz w:val="32"/>
          <w:szCs w:val="32"/>
        </w:rPr>
        <w:t xml:space="preserve"> 绿心耕地应当优先划为永久基本农田</w:t>
      </w:r>
      <w:r>
        <w:rPr>
          <w:rFonts w:hint="eastAsia" w:hAnsi="仿宋" w:eastAsia="仿宋_GB2312" w:cs="仿宋"/>
          <w:bCs/>
          <w:kern w:val="0"/>
          <w:sz w:val="32"/>
          <w:szCs w:val="32"/>
          <w:lang w:val="zh-CN"/>
        </w:rPr>
        <w:t>。</w:t>
      </w:r>
      <w:r>
        <w:rPr>
          <w:rFonts w:hint="eastAsia" w:hAnsi="仿宋" w:eastAsia="仿宋_GB2312" w:cs="黑体"/>
          <w:bCs/>
          <w:kern w:val="0"/>
          <w:sz w:val="32"/>
          <w:szCs w:val="32"/>
          <w:lang w:val="zh-CN"/>
        </w:rPr>
        <w:t>划为永久基本农田的耕地应当占绿心耕地的百分之八十以上。</w:t>
      </w:r>
    </w:p>
    <w:p>
      <w:pPr>
        <w:keepNext w:val="0"/>
        <w:keepLines w:val="0"/>
        <w:pageBreakBefore w:val="0"/>
        <w:widowControl w:val="0"/>
        <w:kinsoku/>
        <w:wordWrap/>
        <w:overflowPunct/>
        <w:topLinePunct w:val="0"/>
        <w:bidi w:val="0"/>
        <w:snapToGrid/>
        <w:spacing w:line="580" w:lineRule="exact"/>
        <w:ind w:firstLine="640" w:firstLineChars="200"/>
        <w:textAlignment w:val="auto"/>
        <w:rPr>
          <w:rFonts w:hint="eastAsia" w:hAnsi="仿宋" w:eastAsia="仿宋_GB2312" w:cs="仿宋"/>
          <w:bCs/>
          <w:kern w:val="0"/>
          <w:sz w:val="32"/>
          <w:szCs w:val="32"/>
          <w:lang w:val="zh-CN"/>
        </w:rPr>
      </w:pPr>
      <w:r>
        <w:rPr>
          <w:rFonts w:hint="eastAsia" w:hAnsi="仿宋" w:eastAsia="仿宋_GB2312" w:cs="黑体"/>
          <w:kern w:val="0"/>
          <w:sz w:val="32"/>
          <w:szCs w:val="32"/>
        </w:rPr>
        <w:t>市、区人民政府应当推进绿心农村土地流转工作，扶持发展多种形式的适度规模经营。</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农业</w:t>
      </w:r>
      <w:r>
        <w:rPr>
          <w:rFonts w:hint="eastAsia" w:hAnsi="仿宋" w:eastAsia="仿宋_GB2312" w:cs="黑体"/>
          <w:kern w:val="0"/>
          <w:sz w:val="32"/>
          <w:szCs w:val="32"/>
          <w:lang w:val="zh-CN"/>
        </w:rPr>
        <w:t>农村</w:t>
      </w:r>
      <w:r>
        <w:rPr>
          <w:rFonts w:hint="eastAsia" w:hAnsi="仿宋" w:eastAsia="仿宋_GB2312" w:cs="仿宋"/>
          <w:kern w:val="0"/>
          <w:sz w:val="32"/>
          <w:szCs w:val="32"/>
          <w:lang w:val="zh-CN"/>
        </w:rPr>
        <w:t>主管部门</w:t>
      </w:r>
      <w:r>
        <w:rPr>
          <w:rFonts w:hint="eastAsia" w:hAnsi="仿宋" w:eastAsia="仿宋_GB2312" w:cs="黑体"/>
          <w:kern w:val="0"/>
          <w:sz w:val="32"/>
          <w:szCs w:val="32"/>
          <w:lang w:val="zh-CN"/>
        </w:rPr>
        <w:t>和镇人民政府</w:t>
      </w:r>
      <w:r>
        <w:rPr>
          <w:rFonts w:hint="eastAsia" w:hAnsi="仿宋" w:eastAsia="仿宋_GB2312" w:cs="黑体"/>
          <w:kern w:val="0"/>
          <w:sz w:val="32"/>
          <w:szCs w:val="32"/>
        </w:rPr>
        <w:t>（街道办事处）</w:t>
      </w:r>
      <w:r>
        <w:rPr>
          <w:rFonts w:hint="eastAsia" w:hAnsi="仿宋" w:eastAsia="仿宋_GB2312" w:cs="仿宋"/>
          <w:kern w:val="0"/>
          <w:sz w:val="32"/>
          <w:szCs w:val="32"/>
          <w:lang w:val="zh-CN"/>
        </w:rPr>
        <w:t>应当</w:t>
      </w:r>
      <w:r>
        <w:rPr>
          <w:rFonts w:hint="eastAsia" w:hAnsi="仿宋" w:eastAsia="仿宋_GB2312" w:cs="黑体"/>
          <w:kern w:val="0"/>
          <w:sz w:val="32"/>
          <w:szCs w:val="32"/>
          <w:lang w:val="zh-CN"/>
        </w:rPr>
        <w:t>引导农业生产者科学施肥用药，推广农作物病虫害绿色防控和测土配方施肥等先进技术，防治土壤污染</w:t>
      </w:r>
      <w:r>
        <w:rPr>
          <w:rFonts w:hint="eastAsia" w:hAnsi="仿宋" w:eastAsia="仿宋_GB2312" w:cs="仿宋"/>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rPr>
      </w:pPr>
      <w:r>
        <w:rPr>
          <w:rFonts w:hint="eastAsia" w:ascii="黑体" w:hAnsi="黑体" w:eastAsia="黑体" w:cs="黑体"/>
          <w:b w:val="0"/>
          <w:bCs w:val="0"/>
          <w:kern w:val="0"/>
          <w:sz w:val="32"/>
          <w:szCs w:val="32"/>
          <w:lang w:val="zh-CN"/>
        </w:rPr>
        <w:t xml:space="preserve">第二十条 </w:t>
      </w:r>
      <w:r>
        <w:rPr>
          <w:rFonts w:hint="eastAsia" w:hAnsi="仿宋" w:eastAsia="仿宋_GB2312" w:cs="仿宋"/>
          <w:kern w:val="0"/>
          <w:sz w:val="32"/>
          <w:szCs w:val="32"/>
        </w:rPr>
        <w:t xml:space="preserve"> 林业主管部门应当会同自然资源、水行政、海洋与渔业主管部门，对绿心河道、湖泊和木兰溪入海口等区域的湿地资源进行调查、监测和评估，并按照规定程序列入一般湿地名录或者申请列入重要湿地名录。</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rPr>
      </w:pPr>
      <w:r>
        <w:rPr>
          <w:rFonts w:hint="eastAsia" w:hAnsi="仿宋" w:eastAsia="仿宋_GB2312" w:cs="仿宋"/>
          <w:kern w:val="0"/>
          <w:sz w:val="32"/>
          <w:szCs w:val="32"/>
        </w:rPr>
        <w:t>市、区人民政府应当加强木兰溪入海口区域的滨海湿地生态修复工作，实行湿地生态红线管控制度。</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第二十一条</w:t>
      </w:r>
      <w:r>
        <w:rPr>
          <w:rFonts w:hint="eastAsia" w:hAnsi="仿宋" w:eastAsia="仿宋_GB2312" w:cs="仿宋"/>
          <w:kern w:val="0"/>
          <w:sz w:val="32"/>
          <w:szCs w:val="32"/>
          <w:lang w:val="zh-CN"/>
        </w:rPr>
        <w:t xml:space="preserve">  </w:t>
      </w:r>
      <w:r>
        <w:rPr>
          <w:rFonts w:hint="eastAsia" w:hAnsi="仿宋" w:eastAsia="仿宋_GB2312" w:cs="仿宋"/>
          <w:bCs/>
          <w:kern w:val="0"/>
          <w:sz w:val="32"/>
          <w:szCs w:val="32"/>
          <w:lang w:val="zh-CN"/>
        </w:rPr>
        <w:t>农业农村、林业、海洋与渔业主管部门应当维护绿心生物多样性和特有性，加强外来物种的监控和管理，保护绿心生态平衡。</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禁止在绿心内使用炸鱼、毒鱼、电鱼等破坏渔业资源的方法进行捕捞。</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第二十二条</w:t>
      </w:r>
      <w:r>
        <w:rPr>
          <w:rFonts w:hint="eastAsia" w:hAnsi="仿宋" w:eastAsia="仿宋_GB2312" w:cs="仿宋"/>
          <w:bCs/>
          <w:kern w:val="0"/>
          <w:sz w:val="32"/>
          <w:szCs w:val="32"/>
          <w:lang w:val="zh-CN"/>
        </w:rPr>
        <w:t xml:space="preserve">  </w:t>
      </w:r>
      <w:r>
        <w:rPr>
          <w:rFonts w:hint="eastAsia" w:hAnsi="仿宋" w:eastAsia="仿宋_GB2312" w:cs="仿宋"/>
          <w:kern w:val="0"/>
          <w:sz w:val="32"/>
          <w:szCs w:val="32"/>
        </w:rPr>
        <w:t>市</w:t>
      </w:r>
      <w:r>
        <w:rPr>
          <w:rFonts w:hint="eastAsia" w:hAnsi="仿宋" w:eastAsia="仿宋_GB2312" w:cs="仿宋"/>
          <w:bCs/>
          <w:kern w:val="0"/>
          <w:sz w:val="32"/>
          <w:szCs w:val="32"/>
          <w:lang w:val="zh-CN"/>
        </w:rPr>
        <w:t>住房和城乡建设主管部门应当会同市文化和旅游主管部门对绿心历史文化</w:t>
      </w:r>
      <w:r>
        <w:rPr>
          <w:rFonts w:hint="eastAsia" w:hAnsi="仿宋" w:eastAsia="仿宋_GB2312" w:cs="黑体"/>
          <w:bCs/>
          <w:kern w:val="0"/>
          <w:sz w:val="32"/>
          <w:szCs w:val="32"/>
          <w:lang w:val="zh-CN"/>
        </w:rPr>
        <w:t>名村、</w:t>
      </w:r>
      <w:r>
        <w:rPr>
          <w:rFonts w:hint="eastAsia" w:hAnsi="仿宋" w:eastAsia="仿宋_GB2312" w:cs="仿宋"/>
          <w:bCs/>
          <w:kern w:val="0"/>
          <w:sz w:val="32"/>
          <w:szCs w:val="32"/>
          <w:lang w:val="zh-CN"/>
        </w:rPr>
        <w:t>传统村落资源进行普查、登记和建档，形成资源名单，并向社会公布。</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列入资源名单的历史文化</w:t>
      </w:r>
      <w:r>
        <w:rPr>
          <w:rFonts w:hint="eastAsia" w:hAnsi="仿宋" w:eastAsia="仿宋_GB2312" w:cs="黑体"/>
          <w:bCs/>
          <w:kern w:val="0"/>
          <w:sz w:val="32"/>
          <w:szCs w:val="32"/>
          <w:lang w:val="zh-CN"/>
        </w:rPr>
        <w:t>名村、</w:t>
      </w:r>
      <w:r>
        <w:rPr>
          <w:rFonts w:hint="eastAsia" w:hAnsi="仿宋" w:eastAsia="仿宋_GB2312" w:cs="仿宋"/>
          <w:bCs/>
          <w:kern w:val="0"/>
          <w:sz w:val="32"/>
          <w:szCs w:val="32"/>
          <w:lang w:val="zh-CN"/>
        </w:rPr>
        <w:t>传统村落实行属地管理，建立离任交接制度。开发旅游休闲项目的，区人民政府应当进行可行性论证，对可能破坏传统格局、历史风貌和空间尺度或者存在其他条件不成熟情形的，应当先予保护、禁止开发；已经实施开发的，应当加强保护。</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第二十三条</w:t>
      </w:r>
      <w:r>
        <w:rPr>
          <w:rFonts w:hint="eastAsia" w:hAnsi="仿宋" w:eastAsia="仿宋_GB2312" w:cs="仿宋"/>
          <w:kern w:val="0"/>
          <w:sz w:val="32"/>
          <w:szCs w:val="32"/>
        </w:rPr>
        <w:t xml:space="preserve">  </w:t>
      </w:r>
      <w:r>
        <w:rPr>
          <w:rFonts w:hint="eastAsia" w:hAnsi="仿宋" w:eastAsia="仿宋_GB2312" w:cs="仿宋"/>
          <w:bCs/>
          <w:kern w:val="0"/>
          <w:sz w:val="32"/>
          <w:szCs w:val="32"/>
          <w:lang w:val="zh-CN"/>
        </w:rPr>
        <w:t>市</w:t>
      </w:r>
      <w:r>
        <w:rPr>
          <w:rFonts w:hint="eastAsia" w:hAnsi="仿宋" w:eastAsia="仿宋_GB2312" w:cs="黑体"/>
          <w:bCs/>
          <w:kern w:val="0"/>
          <w:sz w:val="32"/>
          <w:szCs w:val="32"/>
          <w:lang w:val="zh-CN"/>
        </w:rPr>
        <w:t>自然资源</w:t>
      </w:r>
      <w:r>
        <w:rPr>
          <w:rFonts w:hint="eastAsia" w:hAnsi="仿宋" w:eastAsia="仿宋_GB2312" w:cs="仿宋"/>
          <w:bCs/>
          <w:kern w:val="0"/>
          <w:sz w:val="32"/>
          <w:szCs w:val="32"/>
          <w:lang w:val="zh-CN"/>
        </w:rPr>
        <w:t>主管部门应当会同市文化和旅游主管部门对绿心历史建筑进行普查，并按照规定程序列入历史建筑名录。</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绿心历史建筑实施原址保护。因公共利益需要进行建设活动，无法实施原址保护的，实施迁移异地保护。在</w:t>
      </w:r>
      <w:r>
        <w:rPr>
          <w:rFonts w:hint="eastAsia" w:hAnsi="仿宋" w:eastAsia="仿宋_GB2312" w:cs="黑体"/>
          <w:bCs/>
          <w:kern w:val="0"/>
          <w:sz w:val="32"/>
          <w:szCs w:val="32"/>
          <w:lang w:val="zh-CN"/>
        </w:rPr>
        <w:t>列入资源名单的</w:t>
      </w:r>
      <w:r>
        <w:rPr>
          <w:rFonts w:hint="eastAsia" w:hAnsi="仿宋" w:eastAsia="仿宋_GB2312" w:cs="仿宋"/>
          <w:bCs/>
          <w:kern w:val="0"/>
          <w:sz w:val="32"/>
          <w:szCs w:val="32"/>
          <w:lang w:val="zh-CN"/>
        </w:rPr>
        <w:t>历史文化</w:t>
      </w:r>
      <w:r>
        <w:rPr>
          <w:rFonts w:hint="eastAsia" w:hAnsi="仿宋" w:eastAsia="仿宋_GB2312" w:cs="黑体"/>
          <w:bCs/>
          <w:kern w:val="0"/>
          <w:sz w:val="32"/>
          <w:szCs w:val="32"/>
          <w:lang w:val="zh-CN"/>
        </w:rPr>
        <w:t>名村、</w:t>
      </w:r>
      <w:r>
        <w:rPr>
          <w:rFonts w:hint="eastAsia" w:hAnsi="仿宋" w:eastAsia="仿宋_GB2312" w:cs="仿宋"/>
          <w:bCs/>
          <w:kern w:val="0"/>
          <w:sz w:val="32"/>
          <w:szCs w:val="32"/>
          <w:lang w:val="zh-CN"/>
        </w:rPr>
        <w:t>传统村落内进行迁移保护的，不得破坏传统格局、历史风貌和空间尺度。</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市、区人民政府应当建立绿心历史建筑使用评估制度，推进历史建筑使用权流转工作，在符合保护要求的基础上引入文化创意、教育研究、展览展示、传统手工业等产业以及开展商业、民宿等活动，延续和拓展历史建筑使用功能。</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历史建筑的使用应当与其历史价值、内部结构相适应，不得擅自改变历史建筑主体结构、主要平面布局和外观，不得危害历史建筑及其附属设施的安全。</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第二十四条</w:t>
      </w:r>
      <w:r>
        <w:rPr>
          <w:rFonts w:hint="eastAsia" w:hAnsi="仿宋" w:eastAsia="仿宋_GB2312" w:cs="仿宋"/>
          <w:kern w:val="0"/>
          <w:sz w:val="32"/>
          <w:szCs w:val="32"/>
          <w:lang w:val="zh-CN"/>
        </w:rPr>
        <w:t xml:space="preserve">  绿心应当划定为畜禽养殖禁养区。</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禁止在绿心水域从事网箱养殖、围栏养殖</w:t>
      </w:r>
      <w:r>
        <w:rPr>
          <w:rFonts w:hint="eastAsia" w:hAnsi="仿宋" w:eastAsia="仿宋_GB2312" w:cs="黑体"/>
          <w:kern w:val="0"/>
          <w:sz w:val="32"/>
          <w:szCs w:val="32"/>
          <w:lang w:val="zh-CN"/>
        </w:rPr>
        <w:t>、</w:t>
      </w:r>
      <w:r>
        <w:rPr>
          <w:rFonts w:hint="eastAsia" w:hAnsi="仿宋" w:eastAsia="仿宋_GB2312" w:cs="仿宋"/>
          <w:kern w:val="0"/>
          <w:sz w:val="32"/>
          <w:szCs w:val="32"/>
          <w:lang w:val="zh-CN"/>
        </w:rPr>
        <w:t>投饵养殖</w:t>
      </w:r>
      <w:r>
        <w:rPr>
          <w:rFonts w:hint="eastAsia" w:hAnsi="仿宋" w:eastAsia="仿宋_GB2312" w:cs="黑体"/>
          <w:kern w:val="0"/>
          <w:sz w:val="32"/>
          <w:szCs w:val="32"/>
          <w:lang w:val="zh-CN"/>
        </w:rPr>
        <w:t>和施肥养殖</w:t>
      </w:r>
      <w:r>
        <w:rPr>
          <w:rFonts w:hint="eastAsia" w:hAnsi="仿宋" w:eastAsia="仿宋_GB2312" w:cs="仿宋"/>
          <w:kern w:val="0"/>
          <w:sz w:val="32"/>
          <w:szCs w:val="32"/>
          <w:lang w:val="zh-CN"/>
        </w:rPr>
        <w:t>等水产养殖活动。</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第二十五条</w:t>
      </w:r>
      <w:r>
        <w:rPr>
          <w:rFonts w:hint="eastAsia" w:hAnsi="仿宋" w:eastAsia="仿宋_GB2312" w:cs="仿宋"/>
          <w:kern w:val="0"/>
          <w:sz w:val="32"/>
          <w:szCs w:val="32"/>
          <w:lang w:val="zh-CN"/>
        </w:rPr>
        <w:t xml:space="preserve">  禁止在绿心内新建坟墓。</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hAnsi="仿宋" w:eastAsia="仿宋_GB2312" w:cs="仿宋"/>
          <w:kern w:val="0"/>
          <w:sz w:val="32"/>
          <w:szCs w:val="32"/>
          <w:lang w:val="zh-CN"/>
        </w:rPr>
        <w:t>区人民政府应当划定公益性骨灰楼堂建设用地，或者在绿心范围外划定公益性公墓建设用地，由镇人民政府（街道办事处）组织建设，并向绿心村民提供。</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spacing w:val="-4"/>
          <w:kern w:val="0"/>
          <w:sz w:val="32"/>
          <w:szCs w:val="32"/>
          <w:lang w:val="zh-CN"/>
        </w:rPr>
      </w:pPr>
      <w:r>
        <w:rPr>
          <w:rFonts w:hint="eastAsia" w:hAnsi="仿宋" w:eastAsia="仿宋_GB2312" w:cs="仿宋"/>
          <w:spacing w:val="-4"/>
          <w:kern w:val="0"/>
          <w:sz w:val="32"/>
          <w:szCs w:val="32"/>
          <w:lang w:val="zh-CN"/>
        </w:rPr>
        <w:t>除文物或者经文化和旅游主管部门认定具有历史、艺术、科学价值外，现有的坟墓应当限期迁移或者深埋，并采取植被恢复措施。</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第二十六条</w:t>
      </w:r>
      <w:r>
        <w:rPr>
          <w:rFonts w:hint="eastAsia" w:hAnsi="仿宋" w:eastAsia="仿宋_GB2312" w:cs="仿宋"/>
          <w:kern w:val="0"/>
          <w:sz w:val="32"/>
          <w:szCs w:val="32"/>
          <w:lang w:val="zh-CN"/>
        </w:rPr>
        <w:t xml:space="preserve">  市有关主管部门、区人民政府应当建立部门、区域协作保护机制，实行信息通报和数据共享，及时协商处理绿心保护重大问题，开展联合检查、联动执法等活动。</w:t>
      </w:r>
    </w:p>
    <w:p>
      <w:pPr>
        <w:keepNext w:val="0"/>
        <w:keepLines w:val="0"/>
        <w:pageBreakBefore w:val="0"/>
        <w:widowControl w:val="0"/>
        <w:kinsoku/>
        <w:wordWrap/>
        <w:overflowPunct/>
        <w:topLinePunct w:val="0"/>
        <w:autoSpaceDE w:val="0"/>
        <w:autoSpaceDN w:val="0"/>
        <w:bidi w:val="0"/>
        <w:adjustRightInd w:val="0"/>
        <w:snapToGrid/>
        <w:spacing w:before="313" w:beforeLines="100" w:after="313" w:afterLines="100" w:line="580" w:lineRule="exact"/>
        <w:jc w:val="center"/>
        <w:textAlignment w:val="auto"/>
        <w:rPr>
          <w:rFonts w:hint="eastAsia" w:ascii="黑体" w:hAnsi="黑体" w:eastAsia="黑体" w:cs="仿宋"/>
          <w:bCs/>
          <w:kern w:val="0"/>
          <w:sz w:val="32"/>
          <w:szCs w:val="32"/>
        </w:rPr>
      </w:pPr>
      <w:r>
        <w:rPr>
          <w:rFonts w:hint="eastAsia" w:ascii="黑体" w:hAnsi="黑体" w:eastAsia="黑体" w:cs="仿宋"/>
          <w:bCs/>
          <w:kern w:val="0"/>
          <w:sz w:val="32"/>
          <w:szCs w:val="32"/>
        </w:rPr>
        <w:t>第四章  法律责任</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第二十七条</w:t>
      </w:r>
      <w:r>
        <w:rPr>
          <w:rFonts w:hint="eastAsia" w:hAnsi="仿宋" w:eastAsia="仿宋_GB2312" w:cs="仿宋"/>
          <w:bCs/>
          <w:kern w:val="0"/>
          <w:sz w:val="32"/>
          <w:szCs w:val="32"/>
          <w:lang w:val="zh-CN"/>
        </w:rPr>
        <w:t xml:space="preserve">  违反本条例第十六条第四款规定，排放、倾倒废渣、废料、动物尸体和城镇垃圾等废弃物的，由生态环境主管部门责令停止违法行为，限期采取治理措施，消除污染，处二万元以上五万元以下的罚款；情节严重的，处五万元以上二十万元以下的罚款；逾期不采取治理措施的，生态环境主管部门可以指定有治理能力的单位代为治理，所需费用由违法者承担。</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ascii="黑体" w:hAnsi="黑体" w:eastAsia="黑体" w:cs="黑体"/>
          <w:b w:val="0"/>
          <w:bCs w:val="0"/>
          <w:kern w:val="0"/>
          <w:sz w:val="32"/>
          <w:szCs w:val="32"/>
          <w:lang w:val="zh-CN"/>
        </w:rPr>
        <w:t xml:space="preserve">第二十八条 </w:t>
      </w:r>
      <w:r>
        <w:rPr>
          <w:rFonts w:hint="eastAsia" w:hAnsi="仿宋" w:eastAsia="仿宋_GB2312" w:cs="仿宋"/>
          <w:bCs/>
          <w:kern w:val="0"/>
          <w:sz w:val="32"/>
          <w:szCs w:val="32"/>
          <w:lang w:val="zh-CN"/>
        </w:rPr>
        <w:t xml:space="preserve"> 违反本条例第十六条第四款规定，有下列行为之一的，由水行政主管部门按照下列规定处罚：</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（一）从事餐饮、娱乐等经营活动的，责令停止违法行为，限期改正，处一万元以上五万元以下的罚款；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二）围湖造地、围垦河道的，责令停止违法行为，恢复原状或者采取其他补救措施，可以处一万元以上五万元以下的罚款；既不恢复原状也不采取其他补救措施的，代为恢复原状或者采取其他补救措施，所需费用由违法者承担；</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bCs/>
          <w:kern w:val="0"/>
          <w:sz w:val="32"/>
          <w:szCs w:val="32"/>
          <w:lang w:val="zh-CN"/>
        </w:rPr>
      </w:pPr>
      <w:r>
        <w:rPr>
          <w:rFonts w:hint="eastAsia" w:hAnsi="仿宋" w:eastAsia="仿宋_GB2312" w:cs="仿宋"/>
          <w:bCs/>
          <w:kern w:val="0"/>
          <w:sz w:val="32"/>
          <w:szCs w:val="32"/>
          <w:lang w:val="zh-CN"/>
        </w:rPr>
        <w:t>（三）建设妨碍行洪的建筑物、构筑物的，责令停止违法行为，排除阻碍或者采取其他补救措施，可以处一万元以上五万元以下的罚款。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第二十九条</w:t>
      </w:r>
      <w:r>
        <w:rPr>
          <w:rFonts w:hint="eastAsia" w:hAnsi="仿宋" w:eastAsia="仿宋_GB2312" w:cs="仿宋"/>
          <w:bCs/>
          <w:kern w:val="0"/>
          <w:sz w:val="32"/>
          <w:szCs w:val="32"/>
          <w:lang w:val="zh-CN"/>
        </w:rPr>
        <w:t xml:space="preserve">  违反本条例第二十四条第二款规定，</w:t>
      </w:r>
      <w:r>
        <w:rPr>
          <w:rFonts w:hint="eastAsia" w:hAnsi="仿宋" w:eastAsia="仿宋_GB2312" w:cs="仿宋"/>
          <w:kern w:val="0"/>
          <w:sz w:val="32"/>
          <w:szCs w:val="32"/>
          <w:lang w:val="zh-CN"/>
        </w:rPr>
        <w:t>从事网箱养殖、围栏养殖、投饵养殖和施肥养殖等水产养殖活动的，由海洋与渔业主管部门责令限期拆除养殖设施；妨碍航运、行洪的，可以处二千元以上一万元以下的罚款。</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eastAsia="仿宋_GB2312" w:cs="仿宋"/>
          <w:bCs/>
          <w:kern w:val="0"/>
          <w:sz w:val="32"/>
          <w:szCs w:val="32"/>
          <w:lang w:val="zh-CN"/>
        </w:rPr>
      </w:pPr>
      <w:r>
        <w:rPr>
          <w:rFonts w:hint="eastAsia" w:ascii="黑体" w:hAnsi="黑体" w:eastAsia="黑体" w:cs="黑体"/>
          <w:b w:val="0"/>
          <w:bCs w:val="0"/>
          <w:kern w:val="0"/>
          <w:sz w:val="32"/>
          <w:szCs w:val="32"/>
          <w:lang w:val="zh-CN"/>
        </w:rPr>
        <w:t xml:space="preserve">第三十条 </w:t>
      </w:r>
      <w:r>
        <w:rPr>
          <w:rFonts w:hint="eastAsia" w:eastAsia="仿宋_GB2312" w:cs="仿宋"/>
          <w:bCs/>
          <w:kern w:val="0"/>
          <w:sz w:val="32"/>
          <w:szCs w:val="32"/>
          <w:lang w:val="zh-CN"/>
        </w:rPr>
        <w:t xml:space="preserve"> 国家工作人员违反本条例规定，滥用职权、玩忽职守、徇私舞弊的，对直接负责的主管人员和其他直接责任人员依法予以处分；构成犯罪的，依法追究刑事责任。</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3"/>
        <w:textAlignment w:val="auto"/>
        <w:rPr>
          <w:rFonts w:hint="eastAsia" w:hAnsi="仿宋" w:eastAsia="仿宋_GB2312" w:cs="仿宋"/>
          <w:kern w:val="0"/>
          <w:sz w:val="32"/>
          <w:szCs w:val="32"/>
          <w:lang w:val="zh-CN"/>
        </w:rPr>
      </w:pPr>
      <w:r>
        <w:rPr>
          <w:rFonts w:hint="eastAsia" w:ascii="黑体" w:hAnsi="黑体" w:eastAsia="黑体" w:cs="黑体"/>
          <w:b w:val="0"/>
          <w:bCs w:val="0"/>
          <w:kern w:val="0"/>
          <w:sz w:val="32"/>
          <w:szCs w:val="32"/>
          <w:lang w:val="zh-CN"/>
        </w:rPr>
        <w:t>第三十一条</w:t>
      </w:r>
      <w:r>
        <w:rPr>
          <w:rFonts w:hint="eastAsia" w:eastAsia="仿宋_GB2312" w:cs="仿宋"/>
          <w:kern w:val="0"/>
          <w:sz w:val="32"/>
          <w:szCs w:val="32"/>
          <w:lang w:val="zh-CN"/>
        </w:rPr>
        <w:t xml:space="preserve">  </w:t>
      </w:r>
      <w:r>
        <w:rPr>
          <w:rFonts w:hint="eastAsia" w:hAnsi="仿宋" w:eastAsia="仿宋_GB2312" w:cs="仿宋"/>
          <w:kern w:val="0"/>
          <w:sz w:val="32"/>
          <w:szCs w:val="32"/>
          <w:lang w:val="zh-CN"/>
        </w:rPr>
        <w:t>违反本条例规定的其他行为，法律、法规已有处罚规定的，从其规定。</w:t>
      </w:r>
    </w:p>
    <w:p>
      <w:pPr>
        <w:keepNext w:val="0"/>
        <w:keepLines w:val="0"/>
        <w:pageBreakBefore w:val="0"/>
        <w:widowControl w:val="0"/>
        <w:kinsoku/>
        <w:wordWrap/>
        <w:overflowPunct/>
        <w:topLinePunct w:val="0"/>
        <w:autoSpaceDE w:val="0"/>
        <w:autoSpaceDN w:val="0"/>
        <w:bidi w:val="0"/>
        <w:adjustRightInd w:val="0"/>
        <w:snapToGrid/>
        <w:spacing w:before="313" w:beforeLines="100" w:after="313" w:afterLines="100" w:line="580" w:lineRule="exact"/>
        <w:jc w:val="center"/>
        <w:textAlignment w:val="auto"/>
        <w:rPr>
          <w:rFonts w:hint="eastAsia" w:ascii="黑体" w:hAnsi="黑体" w:eastAsia="黑体" w:cs="仿宋"/>
          <w:bCs/>
          <w:kern w:val="0"/>
          <w:sz w:val="32"/>
          <w:szCs w:val="32"/>
        </w:rPr>
      </w:pPr>
      <w:r>
        <w:rPr>
          <w:rFonts w:hint="eastAsia" w:ascii="黑体" w:hAnsi="黑体" w:eastAsia="黑体" w:cs="仿宋"/>
          <w:bCs/>
          <w:kern w:val="0"/>
          <w:sz w:val="32"/>
          <w:szCs w:val="32"/>
        </w:rPr>
        <w:t xml:space="preserve">第五章  附 </w:t>
      </w:r>
      <w:r>
        <w:rPr>
          <w:rFonts w:hint="eastAsia" w:ascii="黑体" w:hAnsi="黑体" w:eastAsia="黑体" w:cs="仿宋"/>
          <w:bCs/>
          <w:kern w:val="0"/>
          <w:sz w:val="32"/>
          <w:szCs w:val="32"/>
          <w:lang w:val="en-US" w:eastAsia="zh-CN"/>
        </w:rPr>
        <w:t xml:space="preserve">  </w:t>
      </w:r>
      <w:r>
        <w:rPr>
          <w:rFonts w:hint="eastAsia" w:ascii="黑体" w:hAnsi="黑体" w:eastAsia="黑体" w:cs="仿宋"/>
          <w:bCs/>
          <w:kern w:val="0"/>
          <w:sz w:val="32"/>
          <w:szCs w:val="32"/>
        </w:rPr>
        <w:t xml:space="preserve"> 则</w:t>
      </w:r>
    </w:p>
    <w:p>
      <w:pPr>
        <w:keepNext w:val="0"/>
        <w:keepLines w:val="0"/>
        <w:pageBreakBefore w:val="0"/>
        <w:widowControl w:val="0"/>
        <w:kinsoku/>
        <w:wordWrap/>
        <w:overflowPunct/>
        <w:topLinePunct w:val="0"/>
        <w:bidi w:val="0"/>
        <w:snapToGrid/>
        <w:spacing w:line="580" w:lineRule="exact"/>
        <w:ind w:firstLine="615"/>
        <w:textAlignment w:val="auto"/>
        <w:rPr>
          <w:rFonts w:hint="eastAsia" w:eastAsia="仿宋_GB2312"/>
          <w:sz w:val="32"/>
          <w:szCs w:val="32"/>
        </w:rPr>
      </w:pPr>
      <w:r>
        <w:rPr>
          <w:rFonts w:hint="eastAsia" w:ascii="黑体" w:hAnsi="黑体" w:eastAsia="黑体" w:cs="黑体"/>
          <w:b w:val="0"/>
          <w:bCs w:val="0"/>
          <w:kern w:val="0"/>
          <w:sz w:val="32"/>
          <w:szCs w:val="32"/>
          <w:lang w:val="zh-CN"/>
        </w:rPr>
        <w:t>第三十二条</w:t>
      </w:r>
      <w:r>
        <w:rPr>
          <w:rFonts w:hint="eastAsia" w:eastAsia="仿宋_GB2312" w:cs="仿宋"/>
          <w:kern w:val="0"/>
          <w:sz w:val="32"/>
          <w:szCs w:val="32"/>
          <w:lang w:val="zh-CN"/>
        </w:rPr>
        <w:t xml:space="preserve">  </w:t>
      </w:r>
      <w:r>
        <w:rPr>
          <w:rFonts w:hint="eastAsia" w:hAnsi="仿宋" w:eastAsia="仿宋_GB2312" w:cs="仿宋"/>
          <w:kern w:val="0"/>
          <w:sz w:val="32"/>
          <w:szCs w:val="32"/>
          <w:lang w:val="zh-CN"/>
        </w:rPr>
        <w:t>本条例自</w:t>
      </w:r>
      <w:r>
        <w:rPr>
          <w:rFonts w:hint="default" w:ascii="Times New Roman" w:hAnsi="Times New Roman" w:eastAsia="仿宋_GB2312" w:cs="Times New Roman"/>
          <w:kern w:val="0"/>
          <w:sz w:val="32"/>
          <w:szCs w:val="32"/>
          <w:lang w:val="en-US" w:eastAsia="zh-CN"/>
        </w:rPr>
        <w:t>2020</w:t>
      </w:r>
      <w:r>
        <w:rPr>
          <w:rFonts w:hint="default" w:ascii="Times New Roman" w:hAnsi="Times New Roman" w:eastAsia="仿宋_GB2312" w:cs="Times New Roman"/>
          <w:kern w:val="0"/>
          <w:sz w:val="32"/>
          <w:szCs w:val="32"/>
          <w:lang w:val="zh-CN"/>
        </w:rPr>
        <w:t>年</w:t>
      </w:r>
      <w:r>
        <w:rPr>
          <w:rFonts w:hint="default" w:ascii="Times New Roman" w:hAnsi="Times New Roman" w:eastAsia="仿宋_GB2312" w:cs="Times New Roman"/>
          <w:kern w:val="0"/>
          <w:sz w:val="32"/>
          <w:szCs w:val="32"/>
          <w:lang w:val="en-US" w:eastAsia="zh-CN"/>
        </w:rPr>
        <w:t>10</w:t>
      </w:r>
      <w:r>
        <w:rPr>
          <w:rFonts w:hint="default" w:ascii="Times New Roman" w:hAnsi="Times New Roman" w:eastAsia="仿宋_GB2312" w:cs="Times New Roman"/>
          <w:kern w:val="0"/>
          <w:sz w:val="32"/>
          <w:szCs w:val="32"/>
          <w:lang w:val="zh-CN"/>
        </w:rPr>
        <w:t>月</w:t>
      </w:r>
      <w:r>
        <w:rPr>
          <w:rFonts w:hint="default" w:ascii="Times New Roman" w:hAnsi="Times New Roman" w:eastAsia="仿宋_GB2312" w:cs="Times New Roman"/>
          <w:kern w:val="0"/>
          <w:sz w:val="32"/>
          <w:szCs w:val="32"/>
          <w:lang w:val="en-US" w:eastAsia="zh-CN"/>
        </w:rPr>
        <w:t>1</w:t>
      </w:r>
      <w:r>
        <w:rPr>
          <w:rFonts w:hint="default" w:ascii="Times New Roman" w:hAnsi="Times New Roman" w:eastAsia="仿宋_GB2312" w:cs="Times New Roman"/>
          <w:kern w:val="0"/>
          <w:sz w:val="32"/>
          <w:szCs w:val="32"/>
          <w:lang w:val="zh-CN"/>
        </w:rPr>
        <w:t>日</w:t>
      </w:r>
      <w:r>
        <w:rPr>
          <w:rFonts w:hint="eastAsia" w:hAnsi="仿宋" w:eastAsia="仿宋_GB2312" w:cs="仿宋"/>
          <w:kern w:val="0"/>
          <w:sz w:val="32"/>
          <w:szCs w:val="32"/>
          <w:lang w:val="zh-CN"/>
        </w:rPr>
        <w:t>起施行。</w:t>
      </w:r>
    </w:p>
    <w:p>
      <w:pPr>
        <w:rPr>
          <w:rFonts w:hint="default" w:ascii="Times New Roman" w:hAnsi="Times New Roman" w:eastAsia="黑体" w:cs="Times New Roman"/>
          <w:lang w:val="en-US" w:eastAsia="zh-CN"/>
        </w:rPr>
      </w:pPr>
    </w:p>
    <w:p>
      <w:pPr>
        <w:rPr>
          <w:rFonts w:hint="default" w:ascii="Times New Roman" w:hAnsi="Times New Roman" w:eastAsia="黑体" w:cs="Times New Roman"/>
          <w:sz w:val="32"/>
          <w:szCs w:val="32"/>
          <w:lang w:val="en-US" w:eastAsia="zh-CN"/>
        </w:rPr>
      </w:pP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黑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22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75B26DB"/>
    <w:rsid w:val="0841276E"/>
    <w:rsid w:val="08985A09"/>
    <w:rsid w:val="08C25AA5"/>
    <w:rsid w:val="0932701E"/>
    <w:rsid w:val="0B516699"/>
    <w:rsid w:val="0B59669C"/>
    <w:rsid w:val="0CB84F65"/>
    <w:rsid w:val="0DBB27A4"/>
    <w:rsid w:val="10107138"/>
    <w:rsid w:val="10830C5A"/>
    <w:rsid w:val="114C3837"/>
    <w:rsid w:val="13DF014B"/>
    <w:rsid w:val="15B468A3"/>
    <w:rsid w:val="17246B45"/>
    <w:rsid w:val="17F24EB6"/>
    <w:rsid w:val="1830602E"/>
    <w:rsid w:val="1CCB15F2"/>
    <w:rsid w:val="1CEE4B08"/>
    <w:rsid w:val="1E34759A"/>
    <w:rsid w:val="1EB31BCD"/>
    <w:rsid w:val="1ED92913"/>
    <w:rsid w:val="1FFF679B"/>
    <w:rsid w:val="214C41D3"/>
    <w:rsid w:val="2196632B"/>
    <w:rsid w:val="24C57C84"/>
    <w:rsid w:val="26A77F99"/>
    <w:rsid w:val="26AD5782"/>
    <w:rsid w:val="273217BC"/>
    <w:rsid w:val="28FD197D"/>
    <w:rsid w:val="29410693"/>
    <w:rsid w:val="297C13DE"/>
    <w:rsid w:val="2A6476DB"/>
    <w:rsid w:val="2A84732A"/>
    <w:rsid w:val="2AD741C1"/>
    <w:rsid w:val="2BC95769"/>
    <w:rsid w:val="2C930896"/>
    <w:rsid w:val="2EA84264"/>
    <w:rsid w:val="30CA16CF"/>
    <w:rsid w:val="346A034C"/>
    <w:rsid w:val="34F92262"/>
    <w:rsid w:val="39083B2A"/>
    <w:rsid w:val="39111DC8"/>
    <w:rsid w:val="394C5B9B"/>
    <w:rsid w:val="3A1F4717"/>
    <w:rsid w:val="3A3E1F16"/>
    <w:rsid w:val="3A6D40EA"/>
    <w:rsid w:val="3B472214"/>
    <w:rsid w:val="3C7E1476"/>
    <w:rsid w:val="3CC11CEF"/>
    <w:rsid w:val="3E093B29"/>
    <w:rsid w:val="3E395F9E"/>
    <w:rsid w:val="40C3665B"/>
    <w:rsid w:val="411E3C58"/>
    <w:rsid w:val="41DF37D4"/>
    <w:rsid w:val="42191F4C"/>
    <w:rsid w:val="42C5083D"/>
    <w:rsid w:val="456A5A7A"/>
    <w:rsid w:val="47DC385B"/>
    <w:rsid w:val="4A125077"/>
    <w:rsid w:val="4A8E09C0"/>
    <w:rsid w:val="4C145FFD"/>
    <w:rsid w:val="4D4461BC"/>
    <w:rsid w:val="4EFA570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E156508"/>
    <w:rsid w:val="5FCA38FA"/>
    <w:rsid w:val="60470BCA"/>
    <w:rsid w:val="60493CCB"/>
    <w:rsid w:val="61032573"/>
    <w:rsid w:val="61F719D6"/>
    <w:rsid w:val="621718DC"/>
    <w:rsid w:val="6489471C"/>
    <w:rsid w:val="66241741"/>
    <w:rsid w:val="66CD58AF"/>
    <w:rsid w:val="68902008"/>
    <w:rsid w:val="6A557176"/>
    <w:rsid w:val="6BB57907"/>
    <w:rsid w:val="6C7B5628"/>
    <w:rsid w:val="6DE07319"/>
    <w:rsid w:val="6E945F7B"/>
    <w:rsid w:val="6F296BF2"/>
    <w:rsid w:val="6FFB4741"/>
    <w:rsid w:val="708D1E39"/>
    <w:rsid w:val="70BC57E7"/>
    <w:rsid w:val="71F203BC"/>
    <w:rsid w:val="73C776EF"/>
    <w:rsid w:val="75791684"/>
    <w:rsid w:val="76756AAB"/>
    <w:rsid w:val="76966A10"/>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2"/>
    <w:basedOn w:val="10"/>
    <w:unhideWhenUsed/>
    <w:qFormat/>
    <w:uiPriority w:val="99"/>
    <w:pPr>
      <w:ind w:firstLine="420" w:firstLineChars="20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Hyperlink"/>
    <w:basedOn w:val="22"/>
    <w:unhideWhenUsed/>
    <w:qFormat/>
    <w:uiPriority w:val="99"/>
    <w:rPr>
      <w:color w:val="0000FF"/>
      <w:u w:val="single"/>
    </w:rPr>
  </w:style>
  <w:style w:type="paragraph" w:customStyle="1" w:styleId="26">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7">
    <w:name w:val="页眉 Char"/>
    <w:basedOn w:val="22"/>
    <w:link w:val="15"/>
    <w:semiHidden/>
    <w:qFormat/>
    <w:uiPriority w:val="99"/>
    <w:rPr>
      <w:sz w:val="18"/>
      <w:szCs w:val="18"/>
    </w:rPr>
  </w:style>
  <w:style w:type="character" w:customStyle="1" w:styleId="28">
    <w:name w:val="页脚 Char"/>
    <w:basedOn w:val="22"/>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2"/>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2"/>
    <w:link w:val="13"/>
    <w:semiHidden/>
    <w:qFormat/>
    <w:locked/>
    <w:uiPriority w:val="0"/>
    <w:rPr>
      <w:rFonts w:ascii="宋体" w:hAnsi="宋体" w:eastAsia="宋体"/>
      <w:sz w:val="18"/>
      <w:szCs w:val="18"/>
    </w:rPr>
  </w:style>
  <w:style w:type="character" w:customStyle="1" w:styleId="33">
    <w:name w:val="批注框文本 Char1"/>
    <w:basedOn w:val="22"/>
    <w:link w:val="13"/>
    <w:semiHidden/>
    <w:qFormat/>
    <w:uiPriority w:val="99"/>
    <w:rPr>
      <w:rFonts w:ascii="Times New Roman" w:hAnsi="Times New Roman" w:eastAsia="仿宋_GB2312" w:cs="Times New Roman"/>
      <w:sz w:val="18"/>
      <w:szCs w:val="18"/>
    </w:rPr>
  </w:style>
  <w:style w:type="character" w:customStyle="1" w:styleId="34">
    <w:name w:val="normal105"/>
    <w:basedOn w:val="22"/>
    <w:qFormat/>
    <w:uiPriority w:val="0"/>
    <w:rPr>
      <w:rFonts w:hint="default" w:ascii="Times New Roman" w:hAnsi="Times New Roman" w:eastAsia="宋体" w:cs="Times New Roman"/>
    </w:rPr>
  </w:style>
  <w:style w:type="character" w:customStyle="1" w:styleId="35">
    <w:name w:val="正文文本 2 Char"/>
    <w:basedOn w:val="22"/>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2"/>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2"/>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3</TotalTime>
  <ScaleCrop>false</ScaleCrop>
  <LinksUpToDate>false</LinksUpToDate>
  <CharactersWithSpaces>28702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2020-04-02T07:37:00Z</cp:lastPrinted>
  <dcterms:modified xsi:type="dcterms:W3CDTF">2020-04-16T08:22:31Z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