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417672" w:rsidRDefault="00FC0F51" w:rsidP="006F7ED8">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417672" w:rsidRDefault="00FC0F51" w:rsidP="006F7ED8">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6F7ED8" w:rsidRPr="0055266E" w:rsidRDefault="006F7ED8" w:rsidP="006F7ED8">
      <w:pPr>
        <w:snapToGrid w:val="0"/>
        <w:spacing w:line="592" w:lineRule="exact"/>
        <w:jc w:val="center"/>
        <w:rPr>
          <w:rFonts w:ascii="宋体" w:hAnsi="宋体"/>
          <w:sz w:val="44"/>
          <w:szCs w:val="44"/>
        </w:rPr>
      </w:pPr>
      <w:r w:rsidRPr="0055266E">
        <w:rPr>
          <w:rFonts w:ascii="宋体" w:hAnsi="宋体"/>
          <w:sz w:val="44"/>
          <w:szCs w:val="44"/>
        </w:rPr>
        <w:t>印江土家族苗族自治县非耕地开发管理条例</w:t>
      </w:r>
    </w:p>
    <w:p w:rsidR="006F7ED8" w:rsidRDefault="006F7ED8" w:rsidP="006F7ED8">
      <w:pPr>
        <w:snapToGrid w:val="0"/>
        <w:spacing w:line="592" w:lineRule="exact"/>
        <w:ind w:firstLineChars="200" w:firstLine="420"/>
      </w:pPr>
    </w:p>
    <w:p w:rsidR="006F7ED8" w:rsidRPr="0055266E" w:rsidRDefault="006F7ED8" w:rsidP="006F7ED8">
      <w:pPr>
        <w:snapToGrid w:val="0"/>
        <w:spacing w:line="592" w:lineRule="exact"/>
        <w:ind w:leftChars="337" w:left="708" w:rightChars="336" w:right="706"/>
        <w:rPr>
          <w:rFonts w:ascii="楷体_GB2312" w:eastAsia="楷体_GB2312" w:hint="eastAsia"/>
          <w:sz w:val="32"/>
          <w:szCs w:val="32"/>
        </w:rPr>
      </w:pPr>
      <w:r w:rsidRPr="0055266E">
        <w:rPr>
          <w:rFonts w:ascii="楷体_GB2312" w:eastAsia="楷体_GB2312" w:hint="eastAsia"/>
          <w:sz w:val="32"/>
          <w:szCs w:val="32"/>
        </w:rPr>
        <w:t>（2001年2月24日印江土家族苗族自治县第四届人民代表大会第四次会议通过　2001年5月25日贵州省第九届人民代表大会常务委员会第二十二次会议批准　2001年9月1日印江土家族苗族自治县人民代表大会常务委员会公告公布施行）</w:t>
      </w:r>
    </w:p>
    <w:p w:rsidR="006F7ED8" w:rsidRDefault="006F7ED8" w:rsidP="006F7ED8">
      <w:pPr>
        <w:snapToGrid w:val="0"/>
        <w:spacing w:line="592" w:lineRule="exact"/>
        <w:ind w:firstLineChars="200" w:firstLine="420"/>
      </w:pPr>
    </w:p>
    <w:p w:rsidR="006F7ED8" w:rsidRDefault="006F7ED8" w:rsidP="006F7ED8">
      <w:pPr>
        <w:snapToGrid w:val="0"/>
        <w:spacing w:line="592" w:lineRule="exact"/>
        <w:ind w:firstLineChars="200" w:firstLine="640"/>
      </w:pPr>
      <w:r w:rsidRPr="006F7ED8">
        <w:rPr>
          <w:rFonts w:ascii="黑体" w:eastAsia="黑体" w:hint="eastAsia"/>
          <w:sz w:val="32"/>
          <w:szCs w:val="32"/>
        </w:rPr>
        <w:t xml:space="preserve">第一条 </w:t>
      </w:r>
      <w:r>
        <w:rPr>
          <w:rFonts w:ascii="仿宋_GB2312" w:eastAsia="仿宋_GB2312" w:hint="eastAsia"/>
          <w:sz w:val="31"/>
        </w:rPr>
        <w:t xml:space="preserve"> </w:t>
      </w:r>
      <w:r>
        <w:rPr>
          <w:rFonts w:ascii="仿宋_GB2312" w:eastAsia="仿宋_GB2312"/>
          <w:sz w:val="31"/>
        </w:rPr>
        <w:t>为合理利用非耕地资源，规范非耕地开发，保护非耕地开发人的合法权益，改善生态环境，促进经济发展，根据《中华人民共和国宪法》、《中华人民共和国民族区域自治法》及有关法律、法规的规定，结合本县实际，制定本条例。</w:t>
      </w:r>
    </w:p>
    <w:p w:rsidR="006F7ED8" w:rsidRDefault="006F7ED8" w:rsidP="006F7ED8">
      <w:pPr>
        <w:snapToGrid w:val="0"/>
        <w:spacing w:line="592" w:lineRule="exact"/>
        <w:ind w:firstLineChars="200" w:firstLine="640"/>
      </w:pPr>
      <w:r w:rsidRPr="006F7ED8">
        <w:rPr>
          <w:rFonts w:ascii="黑体" w:eastAsia="黑体"/>
          <w:sz w:val="32"/>
          <w:szCs w:val="32"/>
        </w:rPr>
        <w:t>第二条</w:t>
      </w:r>
      <w:r>
        <w:rPr>
          <w:rFonts w:ascii="仿宋_GB2312" w:eastAsia="仿宋_GB2312" w:hint="eastAsia"/>
          <w:b/>
          <w:sz w:val="31"/>
        </w:rPr>
        <w:t xml:space="preserve"> </w:t>
      </w:r>
      <w:r>
        <w:rPr>
          <w:rFonts w:ascii="仿宋_GB2312" w:eastAsia="仿宋_GB2312"/>
          <w:sz w:val="31"/>
        </w:rPr>
        <w:t xml:space="preserve"> 本条例所称非耕地，是指本县行政区域内耕地以外未开发、未合理利用的农用地和未利用地。</w:t>
      </w:r>
    </w:p>
    <w:p w:rsidR="006F7ED8" w:rsidRDefault="006F7ED8" w:rsidP="006F7ED8">
      <w:pPr>
        <w:snapToGrid w:val="0"/>
        <w:spacing w:line="592" w:lineRule="exact"/>
        <w:ind w:firstLineChars="200" w:firstLine="640"/>
      </w:pPr>
      <w:r w:rsidRPr="006F7ED8">
        <w:rPr>
          <w:rFonts w:ascii="黑体" w:eastAsia="黑体"/>
          <w:sz w:val="32"/>
          <w:szCs w:val="32"/>
        </w:rPr>
        <w:t>第三条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本县行政区域内的任何单位和个人，应当遵守本条例。</w:t>
      </w:r>
    </w:p>
    <w:p w:rsidR="006F7ED8" w:rsidRDefault="006F7ED8" w:rsidP="006F7ED8">
      <w:pPr>
        <w:snapToGrid w:val="0"/>
        <w:spacing w:line="592" w:lineRule="exact"/>
        <w:ind w:firstLineChars="200" w:firstLine="640"/>
      </w:pPr>
      <w:r w:rsidRPr="006F7ED8">
        <w:rPr>
          <w:rFonts w:ascii="黑体" w:eastAsia="黑体"/>
          <w:sz w:val="32"/>
          <w:szCs w:val="32"/>
        </w:rPr>
        <w:t>第四条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非耕地开发，由自治县、乡、镇人民政府统一领导，统一制定规划。</w:t>
      </w:r>
    </w:p>
    <w:p w:rsidR="006F7ED8" w:rsidRDefault="006F7ED8" w:rsidP="006F7ED8">
      <w:pPr>
        <w:snapToGrid w:val="0"/>
        <w:spacing w:line="592" w:lineRule="exact"/>
        <w:ind w:firstLineChars="200" w:firstLine="620"/>
      </w:pPr>
      <w:r>
        <w:rPr>
          <w:rFonts w:ascii="仿宋_GB2312" w:eastAsia="仿宋_GB2312"/>
          <w:sz w:val="31"/>
        </w:rPr>
        <w:t>非耕地开发坚持开发和治理相结合、保持水土和生态平衡、防止水土流失和保护环境的原则，促进生态效益、社会效益和经</w:t>
      </w:r>
      <w:r>
        <w:rPr>
          <w:rFonts w:ascii="仿宋_GB2312" w:eastAsia="仿宋_GB2312"/>
          <w:sz w:val="31"/>
        </w:rPr>
        <w:lastRenderedPageBreak/>
        <w:t>济效益协调发展。</w:t>
      </w:r>
    </w:p>
    <w:p w:rsidR="006F7ED8" w:rsidRDefault="006F7ED8" w:rsidP="006F7ED8">
      <w:pPr>
        <w:snapToGrid w:val="0"/>
        <w:spacing w:line="592" w:lineRule="exact"/>
        <w:ind w:firstLineChars="200" w:firstLine="640"/>
      </w:pPr>
      <w:r w:rsidRPr="006F7ED8">
        <w:rPr>
          <w:rFonts w:ascii="黑体" w:eastAsia="黑体"/>
          <w:sz w:val="32"/>
          <w:szCs w:val="32"/>
        </w:rPr>
        <w:t>第五条</w:t>
      </w:r>
      <w:r>
        <w:rPr>
          <w:rFonts w:ascii="仿宋_GB2312" w:eastAsia="仿宋_GB2312"/>
          <w:b/>
          <w:sz w:val="31"/>
        </w:rPr>
        <w:t xml:space="preserve"> </w:t>
      </w:r>
      <w:r>
        <w:rPr>
          <w:rFonts w:ascii="仿宋_GB2312" w:eastAsia="仿宋_GB2312" w:hint="eastAsia"/>
          <w:b/>
          <w:sz w:val="31"/>
        </w:rPr>
        <w:t xml:space="preserve"> </w:t>
      </w:r>
      <w:r>
        <w:rPr>
          <w:rFonts w:ascii="仿宋_GB2312" w:eastAsia="仿宋_GB2312"/>
          <w:sz w:val="31"/>
        </w:rPr>
        <w:t>自治县人民政府应当把非耕地开发纳入国民经济和社会发展规划和年度计划。</w:t>
      </w:r>
    </w:p>
    <w:p w:rsidR="006F7ED8" w:rsidRDefault="006F7ED8" w:rsidP="006F7ED8">
      <w:pPr>
        <w:snapToGrid w:val="0"/>
        <w:spacing w:line="592" w:lineRule="exact"/>
        <w:ind w:firstLineChars="200" w:firstLine="640"/>
      </w:pPr>
      <w:r w:rsidRPr="006F7ED8">
        <w:rPr>
          <w:rFonts w:ascii="黑体" w:eastAsia="黑体"/>
          <w:sz w:val="32"/>
          <w:szCs w:val="32"/>
        </w:rPr>
        <w:t>第六条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鼓励和支持县内外单位、组织、个人依法投资开发非耕地，非耕地开发人的合法权益受法律保护。</w:t>
      </w:r>
    </w:p>
    <w:p w:rsidR="006F7ED8" w:rsidRDefault="006F7ED8" w:rsidP="006F7ED8">
      <w:pPr>
        <w:snapToGrid w:val="0"/>
        <w:spacing w:line="592" w:lineRule="exact"/>
        <w:ind w:firstLineChars="200" w:firstLine="620"/>
      </w:pPr>
      <w:r>
        <w:rPr>
          <w:rFonts w:ascii="仿宋_GB2312" w:eastAsia="仿宋_GB2312"/>
          <w:sz w:val="31"/>
        </w:rPr>
        <w:t>非耕地开发人，不受行政区域、行业、职业和户籍限制，享受国家和本自治县的优惠政策。</w:t>
      </w:r>
    </w:p>
    <w:p w:rsidR="006F7ED8" w:rsidRDefault="006F7ED8" w:rsidP="006F7ED8">
      <w:pPr>
        <w:snapToGrid w:val="0"/>
        <w:spacing w:line="592" w:lineRule="exact"/>
        <w:ind w:firstLineChars="200" w:firstLine="640"/>
      </w:pPr>
      <w:r w:rsidRPr="006F7ED8">
        <w:rPr>
          <w:rFonts w:ascii="黑体" w:eastAsia="黑体"/>
          <w:sz w:val="32"/>
          <w:szCs w:val="32"/>
        </w:rPr>
        <w:t>第七条</w:t>
      </w:r>
      <w:r>
        <w:rPr>
          <w:rFonts w:ascii="仿宋_GB2312" w:eastAsia="仿宋_GB2312" w:hint="eastAsia"/>
          <w:b/>
          <w:sz w:val="31"/>
        </w:rPr>
        <w:t xml:space="preserve"> </w:t>
      </w:r>
      <w:r>
        <w:rPr>
          <w:rFonts w:ascii="仿宋_GB2312" w:eastAsia="仿宋_GB2312"/>
          <w:sz w:val="31"/>
        </w:rPr>
        <w:t xml:space="preserve"> 自治县、乡、镇人民政府对非耕地开发作出突出贡献的单位和个人，给予表彰和奖励。</w:t>
      </w:r>
    </w:p>
    <w:p w:rsidR="006F7ED8" w:rsidRDefault="006F7ED8" w:rsidP="006F7ED8">
      <w:pPr>
        <w:snapToGrid w:val="0"/>
        <w:spacing w:line="592" w:lineRule="exact"/>
        <w:ind w:firstLineChars="200" w:firstLine="640"/>
      </w:pPr>
      <w:r w:rsidRPr="006F7ED8">
        <w:rPr>
          <w:rFonts w:ascii="黑体" w:eastAsia="黑体"/>
          <w:sz w:val="32"/>
          <w:szCs w:val="32"/>
        </w:rPr>
        <w:t>第八条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对非耕地可进行以下开发：</w:t>
      </w:r>
    </w:p>
    <w:p w:rsidR="006F7ED8" w:rsidRDefault="006F7ED8" w:rsidP="006F7ED8">
      <w:pPr>
        <w:snapToGrid w:val="0"/>
        <w:spacing w:line="592" w:lineRule="exact"/>
        <w:ind w:firstLineChars="200" w:firstLine="620"/>
      </w:pPr>
      <w:r>
        <w:rPr>
          <w:rFonts w:ascii="仿宋_GB2312" w:eastAsia="仿宋_GB2312"/>
          <w:sz w:val="31"/>
        </w:rPr>
        <w:t>（一）林、草、果、中药材种植及加工业；</w:t>
      </w:r>
    </w:p>
    <w:p w:rsidR="006F7ED8" w:rsidRDefault="006F7ED8" w:rsidP="006F7ED8">
      <w:pPr>
        <w:snapToGrid w:val="0"/>
        <w:spacing w:line="592" w:lineRule="exact"/>
        <w:ind w:firstLineChars="200" w:firstLine="620"/>
      </w:pPr>
      <w:r>
        <w:rPr>
          <w:rFonts w:ascii="仿宋_GB2312" w:eastAsia="仿宋_GB2312"/>
          <w:sz w:val="31"/>
        </w:rPr>
        <w:t>（二）畜、禽、渔养殖业；</w:t>
      </w:r>
    </w:p>
    <w:p w:rsidR="006F7ED8" w:rsidRDefault="006F7ED8" w:rsidP="006F7ED8">
      <w:pPr>
        <w:snapToGrid w:val="0"/>
        <w:spacing w:line="592" w:lineRule="exact"/>
        <w:ind w:firstLineChars="200" w:firstLine="620"/>
      </w:pPr>
      <w:r>
        <w:rPr>
          <w:rFonts w:ascii="仿宋_GB2312" w:eastAsia="仿宋_GB2312"/>
          <w:sz w:val="31"/>
        </w:rPr>
        <w:t>（三）特色旅游业；</w:t>
      </w:r>
    </w:p>
    <w:p w:rsidR="006F7ED8" w:rsidRDefault="006F7ED8" w:rsidP="006F7ED8">
      <w:pPr>
        <w:snapToGrid w:val="0"/>
        <w:spacing w:line="592" w:lineRule="exact"/>
        <w:ind w:firstLineChars="200" w:firstLine="620"/>
      </w:pPr>
      <w:r>
        <w:rPr>
          <w:rFonts w:ascii="仿宋_GB2312" w:eastAsia="仿宋_GB2312"/>
          <w:sz w:val="31"/>
        </w:rPr>
        <w:t>（四）水利灌溉业；</w:t>
      </w:r>
    </w:p>
    <w:p w:rsidR="006F7ED8" w:rsidRDefault="006F7ED8" w:rsidP="006F7ED8">
      <w:pPr>
        <w:snapToGrid w:val="0"/>
        <w:spacing w:line="592" w:lineRule="exact"/>
        <w:ind w:firstLineChars="200" w:firstLine="620"/>
      </w:pPr>
      <w:r>
        <w:rPr>
          <w:rFonts w:ascii="仿宋_GB2312" w:eastAsia="仿宋_GB2312"/>
          <w:sz w:val="31"/>
        </w:rPr>
        <w:t>（五）与非耕地开发相关的服务业；</w:t>
      </w:r>
    </w:p>
    <w:p w:rsidR="006F7ED8" w:rsidRDefault="006F7ED8" w:rsidP="006F7ED8">
      <w:pPr>
        <w:snapToGrid w:val="0"/>
        <w:spacing w:line="592" w:lineRule="exact"/>
        <w:ind w:firstLineChars="200" w:firstLine="620"/>
      </w:pPr>
      <w:r>
        <w:rPr>
          <w:rFonts w:ascii="仿宋_GB2312" w:eastAsia="仿宋_GB2312"/>
          <w:sz w:val="31"/>
        </w:rPr>
        <w:t>（六）植物、野生动物保护；</w:t>
      </w:r>
    </w:p>
    <w:p w:rsidR="006F7ED8" w:rsidRDefault="006F7ED8" w:rsidP="006F7ED8">
      <w:pPr>
        <w:snapToGrid w:val="0"/>
        <w:spacing w:line="592" w:lineRule="exact"/>
        <w:ind w:firstLineChars="200" w:firstLine="620"/>
      </w:pPr>
      <w:r>
        <w:rPr>
          <w:rFonts w:ascii="仿宋_GB2312" w:eastAsia="仿宋_GB2312"/>
          <w:sz w:val="31"/>
        </w:rPr>
        <w:t>（七）其他符合农业产业发展方向的项目。</w:t>
      </w:r>
    </w:p>
    <w:p w:rsidR="006F7ED8" w:rsidRDefault="006F7ED8" w:rsidP="006F7ED8">
      <w:pPr>
        <w:snapToGrid w:val="0"/>
        <w:spacing w:line="592" w:lineRule="exact"/>
        <w:ind w:firstLineChars="200" w:firstLine="640"/>
      </w:pPr>
      <w:r w:rsidRPr="006F7ED8">
        <w:rPr>
          <w:rFonts w:ascii="黑体" w:eastAsia="黑体"/>
          <w:sz w:val="32"/>
          <w:szCs w:val="32"/>
        </w:rPr>
        <w:t>第九条</w:t>
      </w:r>
      <w:r>
        <w:rPr>
          <w:rFonts w:ascii="仿宋_GB2312" w:eastAsia="仿宋_GB2312"/>
          <w:b/>
          <w:sz w:val="31"/>
        </w:rPr>
        <w:t xml:space="preserve"> </w:t>
      </w:r>
      <w:r>
        <w:rPr>
          <w:rFonts w:ascii="仿宋_GB2312" w:eastAsia="仿宋_GB2312" w:hint="eastAsia"/>
          <w:b/>
          <w:sz w:val="31"/>
        </w:rPr>
        <w:t xml:space="preserve"> </w:t>
      </w:r>
      <w:r>
        <w:rPr>
          <w:rFonts w:ascii="仿宋_GB2312" w:eastAsia="仿宋_GB2312"/>
          <w:sz w:val="31"/>
        </w:rPr>
        <w:t>非耕地开发人依法享有以下权利：</w:t>
      </w:r>
    </w:p>
    <w:p w:rsidR="006F7ED8" w:rsidRDefault="006F7ED8" w:rsidP="006F7ED8">
      <w:pPr>
        <w:snapToGrid w:val="0"/>
        <w:spacing w:line="592" w:lineRule="exact"/>
        <w:ind w:firstLineChars="200" w:firstLine="620"/>
      </w:pPr>
      <w:r>
        <w:rPr>
          <w:rFonts w:ascii="仿宋_GB2312" w:eastAsia="仿宋_GB2312"/>
          <w:sz w:val="31"/>
        </w:rPr>
        <w:t>（一）自主经营；</w:t>
      </w:r>
    </w:p>
    <w:p w:rsidR="006F7ED8" w:rsidRDefault="006F7ED8" w:rsidP="006F7ED8">
      <w:pPr>
        <w:snapToGrid w:val="0"/>
        <w:spacing w:line="592" w:lineRule="exact"/>
        <w:ind w:firstLineChars="200" w:firstLine="620"/>
      </w:pPr>
      <w:r>
        <w:rPr>
          <w:rFonts w:ascii="仿宋_GB2312" w:eastAsia="仿宋_GB2312"/>
          <w:sz w:val="31"/>
        </w:rPr>
        <w:t>（二）处置开发成果和收益；</w:t>
      </w:r>
    </w:p>
    <w:p w:rsidR="006F7ED8" w:rsidRDefault="006F7ED8" w:rsidP="006F7ED8">
      <w:pPr>
        <w:snapToGrid w:val="0"/>
        <w:spacing w:line="592" w:lineRule="exact"/>
        <w:ind w:firstLineChars="200" w:firstLine="620"/>
      </w:pPr>
      <w:r>
        <w:rPr>
          <w:rFonts w:ascii="仿宋_GB2312" w:eastAsia="仿宋_GB2312"/>
          <w:sz w:val="31"/>
        </w:rPr>
        <w:t>（三）雇用职员、招收工人；</w:t>
      </w:r>
    </w:p>
    <w:p w:rsidR="006F7ED8" w:rsidRDefault="006F7ED8" w:rsidP="006F7ED8">
      <w:pPr>
        <w:snapToGrid w:val="0"/>
        <w:spacing w:line="592" w:lineRule="exact"/>
        <w:ind w:firstLineChars="200" w:firstLine="620"/>
      </w:pPr>
      <w:r>
        <w:rPr>
          <w:rFonts w:ascii="仿宋_GB2312" w:eastAsia="仿宋_GB2312"/>
          <w:sz w:val="31"/>
        </w:rPr>
        <w:t>（四）享受规定的优惠政策；</w:t>
      </w:r>
    </w:p>
    <w:p w:rsidR="006F7ED8" w:rsidRDefault="006F7ED8" w:rsidP="006F7ED8">
      <w:pPr>
        <w:snapToGrid w:val="0"/>
        <w:spacing w:line="592" w:lineRule="exact"/>
        <w:ind w:firstLineChars="200" w:firstLine="620"/>
      </w:pPr>
      <w:r>
        <w:rPr>
          <w:rFonts w:ascii="仿宋_GB2312" w:eastAsia="仿宋_GB2312"/>
          <w:sz w:val="31"/>
        </w:rPr>
        <w:lastRenderedPageBreak/>
        <w:t>（五）依法对提前或期满收回使用权的非耕地上附着物取得补偿；</w:t>
      </w:r>
    </w:p>
    <w:p w:rsidR="006F7ED8" w:rsidRDefault="006F7ED8" w:rsidP="006F7ED8">
      <w:pPr>
        <w:snapToGrid w:val="0"/>
        <w:spacing w:line="592" w:lineRule="exact"/>
        <w:ind w:firstLineChars="200" w:firstLine="620"/>
      </w:pPr>
      <w:r>
        <w:rPr>
          <w:rFonts w:ascii="仿宋_GB2312" w:eastAsia="仿宋_GB2312"/>
          <w:sz w:val="31"/>
        </w:rPr>
        <w:t>（六）拒交不合法的收费，拒绝不合理的摊派；</w:t>
      </w:r>
    </w:p>
    <w:p w:rsidR="006F7ED8" w:rsidRDefault="006F7ED8" w:rsidP="006F7ED8">
      <w:pPr>
        <w:snapToGrid w:val="0"/>
        <w:spacing w:line="592" w:lineRule="exact"/>
        <w:ind w:firstLineChars="200" w:firstLine="620"/>
      </w:pPr>
      <w:r>
        <w:rPr>
          <w:rFonts w:ascii="仿宋_GB2312" w:eastAsia="仿宋_GB2312"/>
          <w:sz w:val="31"/>
        </w:rPr>
        <w:t>（七）拒交不合法的罚款；</w:t>
      </w:r>
    </w:p>
    <w:p w:rsidR="006F7ED8" w:rsidRDefault="006F7ED8" w:rsidP="006F7ED8">
      <w:pPr>
        <w:snapToGrid w:val="0"/>
        <w:spacing w:line="592" w:lineRule="exact"/>
        <w:ind w:firstLineChars="200" w:firstLine="620"/>
      </w:pPr>
      <w:r>
        <w:rPr>
          <w:rFonts w:ascii="仿宋_GB2312" w:eastAsia="仿宋_GB2312"/>
          <w:sz w:val="31"/>
        </w:rPr>
        <w:t>（八）法律、法规规定的其他权利。</w:t>
      </w:r>
    </w:p>
    <w:p w:rsidR="006F7ED8" w:rsidRDefault="006F7ED8" w:rsidP="006F7ED8">
      <w:pPr>
        <w:snapToGrid w:val="0"/>
        <w:spacing w:line="592" w:lineRule="exact"/>
        <w:ind w:firstLineChars="200" w:firstLine="640"/>
      </w:pPr>
      <w:r w:rsidRPr="006F7ED8">
        <w:rPr>
          <w:rFonts w:ascii="黑体" w:eastAsia="黑体"/>
          <w:sz w:val="32"/>
          <w:szCs w:val="32"/>
        </w:rPr>
        <w:t>第十条</w:t>
      </w:r>
      <w:r>
        <w:rPr>
          <w:rFonts w:ascii="仿宋_GB2312" w:eastAsia="仿宋_GB2312"/>
          <w:b/>
          <w:sz w:val="31"/>
        </w:rPr>
        <w:t xml:space="preserve"> </w:t>
      </w:r>
      <w:r>
        <w:rPr>
          <w:rFonts w:ascii="仿宋_GB2312" w:eastAsia="仿宋_GB2312" w:hint="eastAsia"/>
          <w:b/>
          <w:sz w:val="31"/>
        </w:rPr>
        <w:t xml:space="preserve"> </w:t>
      </w:r>
      <w:r>
        <w:rPr>
          <w:rFonts w:ascii="仿宋_GB2312" w:eastAsia="仿宋_GB2312"/>
          <w:sz w:val="31"/>
        </w:rPr>
        <w:t>非耕地开发人应当履行以下义务：</w:t>
      </w:r>
    </w:p>
    <w:p w:rsidR="006F7ED8" w:rsidRDefault="006F7ED8" w:rsidP="006F7ED8">
      <w:pPr>
        <w:snapToGrid w:val="0"/>
        <w:spacing w:line="592" w:lineRule="exact"/>
        <w:ind w:firstLineChars="200" w:firstLine="620"/>
      </w:pPr>
      <w:r>
        <w:rPr>
          <w:rFonts w:ascii="仿宋_GB2312" w:eastAsia="仿宋_GB2312"/>
          <w:sz w:val="31"/>
        </w:rPr>
        <w:t>（一）依法经营；</w:t>
      </w:r>
    </w:p>
    <w:p w:rsidR="006F7ED8" w:rsidRDefault="006F7ED8" w:rsidP="006F7ED8">
      <w:pPr>
        <w:snapToGrid w:val="0"/>
        <w:spacing w:line="592" w:lineRule="exact"/>
        <w:ind w:firstLineChars="200" w:firstLine="620"/>
      </w:pPr>
      <w:r>
        <w:rPr>
          <w:rFonts w:ascii="仿宋_GB2312" w:eastAsia="仿宋_GB2312"/>
          <w:sz w:val="31"/>
        </w:rPr>
        <w:t>（二）依法纳税；</w:t>
      </w:r>
    </w:p>
    <w:p w:rsidR="006F7ED8" w:rsidRDefault="006F7ED8" w:rsidP="006F7ED8">
      <w:pPr>
        <w:snapToGrid w:val="0"/>
        <w:spacing w:line="592" w:lineRule="exact"/>
        <w:ind w:firstLineChars="200" w:firstLine="620"/>
      </w:pPr>
      <w:r>
        <w:rPr>
          <w:rFonts w:ascii="仿宋_GB2312" w:eastAsia="仿宋_GB2312"/>
          <w:sz w:val="31"/>
        </w:rPr>
        <w:t>（三）依法接受管理；</w:t>
      </w:r>
    </w:p>
    <w:p w:rsidR="006F7ED8" w:rsidRDefault="006F7ED8" w:rsidP="006F7ED8">
      <w:pPr>
        <w:snapToGrid w:val="0"/>
        <w:spacing w:line="592" w:lineRule="exact"/>
        <w:ind w:firstLineChars="200" w:firstLine="620"/>
      </w:pPr>
      <w:r>
        <w:rPr>
          <w:rFonts w:ascii="仿宋_GB2312" w:eastAsia="仿宋_GB2312"/>
          <w:sz w:val="31"/>
        </w:rPr>
        <w:t>（四）保护生态环境；</w:t>
      </w:r>
    </w:p>
    <w:p w:rsidR="006F7ED8" w:rsidRDefault="006F7ED8" w:rsidP="006F7ED8">
      <w:pPr>
        <w:snapToGrid w:val="0"/>
        <w:spacing w:line="592" w:lineRule="exact"/>
        <w:ind w:firstLineChars="200" w:firstLine="620"/>
      </w:pPr>
      <w:r>
        <w:rPr>
          <w:rFonts w:ascii="仿宋_GB2312" w:eastAsia="仿宋_GB2312"/>
          <w:sz w:val="31"/>
        </w:rPr>
        <w:t>（五）遵守法律、法规、职业道德和社会公德；</w:t>
      </w:r>
    </w:p>
    <w:p w:rsidR="006F7ED8" w:rsidRDefault="006F7ED8" w:rsidP="006F7ED8">
      <w:pPr>
        <w:snapToGrid w:val="0"/>
        <w:spacing w:line="592" w:lineRule="exact"/>
        <w:ind w:firstLineChars="200" w:firstLine="620"/>
      </w:pPr>
      <w:r>
        <w:rPr>
          <w:rFonts w:ascii="仿宋_GB2312" w:eastAsia="仿宋_GB2312"/>
          <w:sz w:val="31"/>
        </w:rPr>
        <w:t>（六）法律、法规规定和合同约定的其他义务。</w:t>
      </w:r>
    </w:p>
    <w:p w:rsidR="006F7ED8" w:rsidRDefault="006F7ED8" w:rsidP="006F7ED8">
      <w:pPr>
        <w:snapToGrid w:val="0"/>
        <w:spacing w:line="592" w:lineRule="exact"/>
        <w:ind w:firstLineChars="200" w:firstLine="640"/>
      </w:pPr>
      <w:r w:rsidRPr="006F7ED8">
        <w:rPr>
          <w:rFonts w:ascii="黑体" w:eastAsia="黑体"/>
          <w:sz w:val="32"/>
          <w:szCs w:val="32"/>
        </w:rPr>
        <w:t>第十一条</w:t>
      </w:r>
      <w:r>
        <w:rPr>
          <w:rFonts w:ascii="仿宋_GB2312" w:eastAsia="仿宋_GB2312"/>
          <w:b/>
          <w:sz w:val="31"/>
        </w:rPr>
        <w:t xml:space="preserve"> </w:t>
      </w:r>
      <w:r>
        <w:rPr>
          <w:rFonts w:ascii="仿宋_GB2312" w:eastAsia="仿宋_GB2312" w:hint="eastAsia"/>
          <w:b/>
          <w:sz w:val="31"/>
        </w:rPr>
        <w:t xml:space="preserve"> </w:t>
      </w:r>
      <w:r>
        <w:rPr>
          <w:rFonts w:ascii="仿宋_GB2312" w:eastAsia="仿宋_GB2312"/>
          <w:sz w:val="31"/>
        </w:rPr>
        <w:t>非耕地使用权发包、出让、出租后，有权属争议的，由有关行政执法部门予以处理。</w:t>
      </w:r>
    </w:p>
    <w:p w:rsidR="006F7ED8" w:rsidRDefault="006F7ED8" w:rsidP="006F7ED8">
      <w:pPr>
        <w:snapToGrid w:val="0"/>
        <w:spacing w:line="592" w:lineRule="exact"/>
        <w:ind w:firstLineChars="200" w:firstLine="640"/>
      </w:pPr>
      <w:r w:rsidRPr="006F7ED8">
        <w:rPr>
          <w:rFonts w:ascii="黑体" w:eastAsia="黑体"/>
          <w:sz w:val="32"/>
          <w:szCs w:val="32"/>
        </w:rPr>
        <w:t>第十二条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任何单位和个人不得妨碍、阻扰、刁难和破坏非耕地开发；任何单位不得向非耕地开发人及其附属企业乱收费、乱摊派、乱罚款。</w:t>
      </w:r>
    </w:p>
    <w:p w:rsidR="006F7ED8" w:rsidRDefault="006F7ED8" w:rsidP="006F7ED8">
      <w:pPr>
        <w:snapToGrid w:val="0"/>
        <w:spacing w:line="592" w:lineRule="exact"/>
        <w:ind w:firstLineChars="200" w:firstLine="640"/>
      </w:pPr>
      <w:r w:rsidRPr="006F7ED8">
        <w:rPr>
          <w:rFonts w:ascii="黑体" w:eastAsia="黑体"/>
          <w:sz w:val="32"/>
          <w:szCs w:val="32"/>
        </w:rPr>
        <w:t>第十三条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对特殊的非耕地开发项目，自治县人民政府予以扶持。</w:t>
      </w:r>
    </w:p>
    <w:p w:rsidR="006F7ED8" w:rsidRDefault="006F7ED8" w:rsidP="006F7ED8">
      <w:pPr>
        <w:snapToGrid w:val="0"/>
        <w:spacing w:line="592" w:lineRule="exact"/>
        <w:ind w:firstLineChars="200" w:firstLine="640"/>
      </w:pPr>
      <w:r w:rsidRPr="006F7ED8">
        <w:rPr>
          <w:rFonts w:ascii="黑体" w:eastAsia="黑体"/>
          <w:sz w:val="32"/>
          <w:szCs w:val="32"/>
        </w:rPr>
        <w:t>第十四条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自治县有关行政主管部门依照职责对非耕地开发实施监督和管理。</w:t>
      </w:r>
    </w:p>
    <w:p w:rsidR="006F7ED8" w:rsidRDefault="006F7ED8" w:rsidP="006F7ED8">
      <w:pPr>
        <w:snapToGrid w:val="0"/>
        <w:spacing w:line="592" w:lineRule="exact"/>
        <w:ind w:firstLineChars="200" w:firstLine="620"/>
      </w:pPr>
      <w:r>
        <w:rPr>
          <w:rFonts w:ascii="仿宋_GB2312" w:eastAsia="仿宋_GB2312"/>
          <w:sz w:val="31"/>
        </w:rPr>
        <w:t>非耕地开发应当按照法律、法规规定办理有关手续。</w:t>
      </w:r>
    </w:p>
    <w:p w:rsidR="006F7ED8" w:rsidRDefault="006F7ED8" w:rsidP="006F7ED8">
      <w:pPr>
        <w:snapToGrid w:val="0"/>
        <w:spacing w:line="592" w:lineRule="exact"/>
        <w:ind w:firstLineChars="200" w:firstLine="640"/>
      </w:pPr>
      <w:r w:rsidRPr="006F7ED8">
        <w:rPr>
          <w:rFonts w:ascii="黑体" w:eastAsia="黑体"/>
          <w:sz w:val="32"/>
          <w:szCs w:val="32"/>
        </w:rPr>
        <w:lastRenderedPageBreak/>
        <w:t>第十五条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自治县有关行政部门对非耕地开发人需办理的手续，应当在10个工作日内办理完毕。</w:t>
      </w:r>
    </w:p>
    <w:p w:rsidR="006F7ED8" w:rsidRDefault="006F7ED8" w:rsidP="006F7ED8">
      <w:pPr>
        <w:snapToGrid w:val="0"/>
        <w:spacing w:line="592" w:lineRule="exact"/>
        <w:ind w:firstLineChars="200" w:firstLine="640"/>
      </w:pPr>
      <w:r w:rsidRPr="006F7ED8">
        <w:rPr>
          <w:rFonts w:ascii="黑体" w:eastAsia="黑体"/>
          <w:sz w:val="32"/>
          <w:szCs w:val="32"/>
        </w:rPr>
        <w:t>第十六条</w:t>
      </w:r>
      <w:r>
        <w:rPr>
          <w:rFonts w:ascii="仿宋_GB2312" w:eastAsia="仿宋_GB2312"/>
          <w:b/>
          <w:sz w:val="31"/>
        </w:rPr>
        <w:t xml:space="preserve"> </w:t>
      </w:r>
      <w:r>
        <w:rPr>
          <w:rFonts w:ascii="仿宋_GB2312" w:eastAsia="仿宋_GB2312" w:hint="eastAsia"/>
          <w:b/>
          <w:sz w:val="31"/>
        </w:rPr>
        <w:t xml:space="preserve"> </w:t>
      </w:r>
      <w:r>
        <w:rPr>
          <w:rFonts w:ascii="仿宋_GB2312" w:eastAsia="仿宋_GB2312"/>
          <w:sz w:val="31"/>
        </w:rPr>
        <w:t>本条例实施前依法取得的非耕地使用权继续有效。</w:t>
      </w:r>
    </w:p>
    <w:p w:rsidR="006F7ED8" w:rsidRDefault="006F7ED8" w:rsidP="006F7ED8">
      <w:pPr>
        <w:snapToGrid w:val="0"/>
        <w:spacing w:line="592" w:lineRule="exact"/>
        <w:ind w:firstLineChars="200" w:firstLine="640"/>
      </w:pPr>
      <w:r w:rsidRPr="006F7ED8">
        <w:rPr>
          <w:rFonts w:ascii="黑体" w:eastAsia="黑体"/>
          <w:sz w:val="32"/>
          <w:szCs w:val="32"/>
        </w:rPr>
        <w:t>第十七条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自治县人民政府国土行政主管部门收取的非耕地出让金、承包金、租金应当全额上缴县级财政，专户储存，用于非耕地开发、水土保持和环境保护。</w:t>
      </w:r>
    </w:p>
    <w:p w:rsidR="006F7ED8" w:rsidRDefault="006F7ED8" w:rsidP="006F7ED8">
      <w:pPr>
        <w:snapToGrid w:val="0"/>
        <w:spacing w:line="592" w:lineRule="exact"/>
        <w:ind w:firstLineChars="200" w:firstLine="620"/>
      </w:pPr>
      <w:r>
        <w:rPr>
          <w:rFonts w:ascii="仿宋_GB2312" w:eastAsia="仿宋_GB2312"/>
          <w:sz w:val="31"/>
        </w:rPr>
        <w:t>农村或其它集体经济组织收取的非耕地承包金、租金，由所有权人全额专户储存，按规定使用。</w:t>
      </w:r>
    </w:p>
    <w:p w:rsidR="006F7ED8" w:rsidRDefault="006F7ED8" w:rsidP="006F7ED8">
      <w:pPr>
        <w:snapToGrid w:val="0"/>
        <w:spacing w:line="592" w:lineRule="exact"/>
        <w:ind w:firstLineChars="200" w:firstLine="620"/>
      </w:pPr>
      <w:r>
        <w:rPr>
          <w:rFonts w:ascii="仿宋_GB2312" w:eastAsia="仿宋_GB2312"/>
          <w:sz w:val="31"/>
        </w:rPr>
        <w:t>国有林场、农场、畜牧场、企业事业单位收取的土地出让金，应当用于非耕地开发、农田水利和水土保持。</w:t>
      </w:r>
    </w:p>
    <w:p w:rsidR="006F7ED8" w:rsidRDefault="006F7ED8" w:rsidP="006F7ED8">
      <w:pPr>
        <w:snapToGrid w:val="0"/>
        <w:spacing w:line="592" w:lineRule="exact"/>
        <w:ind w:firstLineChars="200" w:firstLine="640"/>
      </w:pPr>
      <w:r w:rsidRPr="006F7ED8">
        <w:rPr>
          <w:rFonts w:ascii="黑体" w:eastAsia="黑体"/>
          <w:sz w:val="32"/>
          <w:szCs w:val="32"/>
        </w:rPr>
        <w:t>第十八条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国有非耕地使用权出让、集体非耕地使用权出租或承包，均由所有权人和申请使用权人按照平等、自愿、互利的原则，以签订合同的形式出让、出租或承包。</w:t>
      </w:r>
    </w:p>
    <w:p w:rsidR="006F7ED8" w:rsidRDefault="006F7ED8" w:rsidP="006F7ED8">
      <w:pPr>
        <w:snapToGrid w:val="0"/>
        <w:spacing w:line="592" w:lineRule="exact"/>
        <w:ind w:firstLineChars="200" w:firstLine="640"/>
      </w:pPr>
      <w:r w:rsidRPr="006F7ED8">
        <w:rPr>
          <w:rFonts w:ascii="黑体" w:eastAsia="黑体"/>
          <w:sz w:val="32"/>
          <w:szCs w:val="32"/>
        </w:rPr>
        <w:t>第十九条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非耕地开发人雇用职工应当签订劳动合同，保障职工的劳动安全，足额发放工资，保障其合法权益。</w:t>
      </w:r>
    </w:p>
    <w:p w:rsidR="006F7ED8" w:rsidRDefault="006F7ED8" w:rsidP="006F7ED8">
      <w:pPr>
        <w:snapToGrid w:val="0"/>
        <w:spacing w:line="592" w:lineRule="exact"/>
        <w:ind w:firstLineChars="200" w:firstLine="640"/>
      </w:pPr>
      <w:r w:rsidRPr="006F7ED8">
        <w:rPr>
          <w:rFonts w:ascii="黑体" w:eastAsia="黑体"/>
          <w:sz w:val="32"/>
          <w:szCs w:val="32"/>
        </w:rPr>
        <w:t>第二十条</w:t>
      </w:r>
      <w:r>
        <w:rPr>
          <w:rFonts w:ascii="仿宋_GB2312" w:eastAsia="仿宋_GB2312"/>
          <w:b/>
          <w:sz w:val="31"/>
        </w:rPr>
        <w:t xml:space="preserve"> </w:t>
      </w:r>
      <w:r>
        <w:rPr>
          <w:rFonts w:ascii="仿宋_GB2312" w:eastAsia="仿宋_GB2312" w:hint="eastAsia"/>
          <w:b/>
          <w:sz w:val="31"/>
        </w:rPr>
        <w:t xml:space="preserve"> </w:t>
      </w:r>
      <w:r>
        <w:rPr>
          <w:rFonts w:ascii="仿宋_GB2312" w:eastAsia="仿宋_GB2312"/>
          <w:sz w:val="31"/>
        </w:rPr>
        <w:t>有下列情形之一的，终止非耕地使用权，有关部门、单位或集体经济组织依法收回其使用权：</w:t>
      </w:r>
    </w:p>
    <w:p w:rsidR="006F7ED8" w:rsidRDefault="006F7ED8" w:rsidP="006F7ED8">
      <w:pPr>
        <w:snapToGrid w:val="0"/>
        <w:spacing w:line="592" w:lineRule="exact"/>
        <w:ind w:firstLineChars="200" w:firstLine="620"/>
      </w:pPr>
      <w:r>
        <w:rPr>
          <w:rFonts w:ascii="仿宋_GB2312" w:eastAsia="仿宋_GB2312"/>
          <w:sz w:val="31"/>
        </w:rPr>
        <w:t>（一）非耕地使用权合同期满的；</w:t>
      </w:r>
    </w:p>
    <w:p w:rsidR="006F7ED8" w:rsidRDefault="006F7ED8" w:rsidP="006F7ED8">
      <w:pPr>
        <w:snapToGrid w:val="0"/>
        <w:spacing w:line="592" w:lineRule="exact"/>
        <w:ind w:firstLineChars="200" w:firstLine="620"/>
      </w:pPr>
      <w:r>
        <w:rPr>
          <w:rFonts w:ascii="仿宋_GB2312" w:eastAsia="仿宋_GB2312"/>
          <w:sz w:val="31"/>
        </w:rPr>
        <w:t>（二）依照本条例规定被无偿收回的；</w:t>
      </w:r>
    </w:p>
    <w:p w:rsidR="006F7ED8" w:rsidRDefault="006F7ED8" w:rsidP="006F7ED8">
      <w:pPr>
        <w:snapToGrid w:val="0"/>
        <w:spacing w:line="592" w:lineRule="exact"/>
        <w:ind w:firstLineChars="200" w:firstLine="620"/>
      </w:pPr>
      <w:r>
        <w:rPr>
          <w:rFonts w:ascii="仿宋_GB2312" w:eastAsia="仿宋_GB2312"/>
          <w:sz w:val="31"/>
        </w:rPr>
        <w:t>（三）因不可抗拒因素导致使用权不能继续行使的；</w:t>
      </w:r>
    </w:p>
    <w:p w:rsidR="006F7ED8" w:rsidRDefault="006F7ED8" w:rsidP="006F7ED8">
      <w:pPr>
        <w:snapToGrid w:val="0"/>
        <w:spacing w:line="592" w:lineRule="exact"/>
        <w:ind w:firstLineChars="200" w:firstLine="620"/>
      </w:pPr>
      <w:r>
        <w:rPr>
          <w:rFonts w:ascii="仿宋_GB2312" w:eastAsia="仿宋_GB2312"/>
          <w:sz w:val="31"/>
        </w:rPr>
        <w:t>（四）开发人死亡后无合法继承人的；</w:t>
      </w:r>
    </w:p>
    <w:p w:rsidR="006F7ED8" w:rsidRDefault="006F7ED8" w:rsidP="006F7ED8">
      <w:pPr>
        <w:snapToGrid w:val="0"/>
        <w:spacing w:line="592" w:lineRule="exact"/>
        <w:ind w:firstLineChars="200" w:firstLine="620"/>
      </w:pPr>
      <w:r>
        <w:rPr>
          <w:rFonts w:ascii="仿宋_GB2312" w:eastAsia="仿宋_GB2312"/>
          <w:sz w:val="31"/>
        </w:rPr>
        <w:lastRenderedPageBreak/>
        <w:t>（五）双方协商解除合同的；</w:t>
      </w:r>
    </w:p>
    <w:p w:rsidR="006F7ED8" w:rsidRDefault="006F7ED8" w:rsidP="006F7ED8">
      <w:pPr>
        <w:snapToGrid w:val="0"/>
        <w:spacing w:line="592" w:lineRule="exact"/>
        <w:ind w:firstLineChars="200" w:firstLine="620"/>
      </w:pPr>
      <w:r>
        <w:rPr>
          <w:rFonts w:ascii="仿宋_GB2312" w:eastAsia="仿宋_GB2312"/>
          <w:sz w:val="31"/>
        </w:rPr>
        <w:t>（六）法律、法规规定其它终止的。</w:t>
      </w:r>
    </w:p>
    <w:p w:rsidR="006F7ED8" w:rsidRDefault="006F7ED8" w:rsidP="006F7ED8">
      <w:pPr>
        <w:snapToGrid w:val="0"/>
        <w:spacing w:line="592" w:lineRule="exact"/>
        <w:ind w:firstLineChars="200" w:firstLine="640"/>
      </w:pPr>
      <w:r w:rsidRPr="006F7ED8">
        <w:rPr>
          <w:rFonts w:ascii="黑体" w:eastAsia="黑体"/>
          <w:sz w:val="32"/>
          <w:szCs w:val="32"/>
        </w:rPr>
        <w:t>第二十一条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非耕地开发人不得有下列行为：</w:t>
      </w:r>
    </w:p>
    <w:p w:rsidR="006F7ED8" w:rsidRDefault="006F7ED8" w:rsidP="006F7ED8">
      <w:pPr>
        <w:snapToGrid w:val="0"/>
        <w:spacing w:line="592" w:lineRule="exact"/>
        <w:ind w:firstLineChars="200" w:firstLine="620"/>
      </w:pPr>
      <w:r>
        <w:rPr>
          <w:rFonts w:ascii="仿宋_GB2312" w:eastAsia="仿宋_GB2312"/>
          <w:sz w:val="31"/>
        </w:rPr>
        <w:t>（一）自合同生效之日起，逾期未开发的；</w:t>
      </w:r>
    </w:p>
    <w:p w:rsidR="006F7ED8" w:rsidRDefault="006F7ED8" w:rsidP="006F7ED8">
      <w:pPr>
        <w:snapToGrid w:val="0"/>
        <w:spacing w:line="592" w:lineRule="exact"/>
        <w:ind w:firstLineChars="200" w:firstLine="620"/>
      </w:pPr>
      <w:r>
        <w:rPr>
          <w:rFonts w:ascii="仿宋_GB2312" w:eastAsia="仿宋_GB2312"/>
          <w:sz w:val="31"/>
        </w:rPr>
        <w:t>（二）擅自改变合同约定用途或非法转让、转租、转包非耕地使用权的；</w:t>
      </w:r>
    </w:p>
    <w:p w:rsidR="006F7ED8" w:rsidRDefault="006F7ED8" w:rsidP="006F7ED8">
      <w:pPr>
        <w:snapToGrid w:val="0"/>
        <w:spacing w:line="592" w:lineRule="exact"/>
        <w:ind w:firstLineChars="200" w:firstLine="620"/>
      </w:pPr>
      <w:r>
        <w:rPr>
          <w:rFonts w:ascii="仿宋_GB2312" w:eastAsia="仿宋_GB2312"/>
          <w:sz w:val="31"/>
        </w:rPr>
        <w:t>（三）破坏地下资源、生态环境，造成水土流失的；</w:t>
      </w:r>
    </w:p>
    <w:p w:rsidR="006F7ED8" w:rsidRDefault="006F7ED8" w:rsidP="006F7ED8">
      <w:pPr>
        <w:snapToGrid w:val="0"/>
        <w:spacing w:line="592" w:lineRule="exact"/>
        <w:ind w:firstLineChars="200" w:firstLine="620"/>
      </w:pPr>
      <w:r>
        <w:rPr>
          <w:rFonts w:ascii="仿宋_GB2312" w:eastAsia="仿宋_GB2312"/>
          <w:sz w:val="31"/>
        </w:rPr>
        <w:t>（四）损坏建筑、电力、农田水利设施的；</w:t>
      </w:r>
    </w:p>
    <w:p w:rsidR="006F7ED8" w:rsidRDefault="006F7ED8" w:rsidP="006F7ED8">
      <w:pPr>
        <w:snapToGrid w:val="0"/>
        <w:spacing w:line="592" w:lineRule="exact"/>
        <w:ind w:firstLineChars="200" w:firstLine="620"/>
      </w:pPr>
      <w:r>
        <w:rPr>
          <w:rFonts w:ascii="仿宋_GB2312" w:eastAsia="仿宋_GB2312"/>
          <w:sz w:val="31"/>
        </w:rPr>
        <w:t>（五）乱砍、滥伐林木的；</w:t>
      </w:r>
    </w:p>
    <w:p w:rsidR="006F7ED8" w:rsidRDefault="006F7ED8" w:rsidP="006F7ED8">
      <w:pPr>
        <w:snapToGrid w:val="0"/>
        <w:spacing w:line="592" w:lineRule="exact"/>
        <w:ind w:firstLineChars="200" w:firstLine="620"/>
      </w:pPr>
      <w:r>
        <w:rPr>
          <w:rFonts w:ascii="仿宋_GB2312" w:eastAsia="仿宋_GB2312"/>
          <w:sz w:val="31"/>
        </w:rPr>
        <w:t>（六）其它违法行为。</w:t>
      </w:r>
    </w:p>
    <w:p w:rsidR="006F7ED8" w:rsidRDefault="006F7ED8" w:rsidP="006F7ED8">
      <w:pPr>
        <w:snapToGrid w:val="0"/>
        <w:spacing w:line="592" w:lineRule="exact"/>
        <w:ind w:firstLineChars="200" w:firstLine="640"/>
      </w:pPr>
      <w:r w:rsidRPr="006F7ED8">
        <w:rPr>
          <w:rFonts w:ascii="黑体" w:eastAsia="黑体"/>
          <w:sz w:val="32"/>
          <w:szCs w:val="32"/>
        </w:rPr>
        <w:t>第二十二条</w:t>
      </w:r>
      <w:r>
        <w:rPr>
          <w:rFonts w:ascii="仿宋_GB2312" w:eastAsia="仿宋_GB2312" w:hint="eastAsia"/>
          <w:b/>
          <w:sz w:val="31"/>
        </w:rPr>
        <w:t xml:space="preserve"> </w:t>
      </w:r>
      <w:r>
        <w:rPr>
          <w:rFonts w:ascii="仿宋_GB2312" w:eastAsia="仿宋_GB2312"/>
          <w:b/>
          <w:sz w:val="31"/>
        </w:rPr>
        <w:t xml:space="preserve"> </w:t>
      </w:r>
      <w:r>
        <w:rPr>
          <w:rFonts w:ascii="仿宋_GB2312" w:eastAsia="仿宋_GB2312"/>
          <w:sz w:val="31"/>
        </w:rPr>
        <w:t>对开发难度大、自然环境条件差的非耕地的使用权，经协商，可以无偿承包、出让或出租。</w:t>
      </w:r>
    </w:p>
    <w:p w:rsidR="006F7ED8" w:rsidRDefault="006F7ED8" w:rsidP="006F7ED8">
      <w:pPr>
        <w:snapToGrid w:val="0"/>
        <w:spacing w:line="592" w:lineRule="exact"/>
        <w:ind w:firstLineChars="200" w:firstLine="620"/>
      </w:pPr>
      <w:r>
        <w:rPr>
          <w:rFonts w:ascii="仿宋_GB2312" w:eastAsia="仿宋_GB2312"/>
          <w:sz w:val="31"/>
        </w:rPr>
        <w:t>非耕地使用权承包、受让、承租年限不超过50年。开发前的治理时间为2年，开发难度大的可延长至3年。治理时间不计交出让金、承包金和租金。</w:t>
      </w:r>
    </w:p>
    <w:p w:rsidR="006F7ED8" w:rsidRDefault="006F7ED8" w:rsidP="006F7ED8">
      <w:pPr>
        <w:snapToGrid w:val="0"/>
        <w:spacing w:line="592" w:lineRule="exact"/>
        <w:ind w:firstLineChars="200" w:firstLine="620"/>
      </w:pPr>
      <w:r>
        <w:rPr>
          <w:rFonts w:ascii="仿宋_GB2312" w:eastAsia="仿宋_GB2312"/>
          <w:sz w:val="31"/>
        </w:rPr>
        <w:t>按合同约定期限和要求开发的非耕地使用权，可以依法继承、抵押、转让、转租、转包。</w:t>
      </w:r>
    </w:p>
    <w:p w:rsidR="006F7ED8" w:rsidRDefault="006F7ED8" w:rsidP="006F7ED8">
      <w:pPr>
        <w:snapToGrid w:val="0"/>
        <w:spacing w:line="592" w:lineRule="exact"/>
        <w:ind w:firstLineChars="200" w:firstLine="640"/>
      </w:pPr>
      <w:r w:rsidRPr="006F7ED8">
        <w:rPr>
          <w:rFonts w:ascii="黑体" w:eastAsia="黑体"/>
          <w:sz w:val="32"/>
          <w:szCs w:val="32"/>
        </w:rPr>
        <w:t>第二十三条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非耕地使用权期满，开发人可以申请延期，期满不再使用，由出让方、出租方或发包方收回使用权，并对地上附着物给予合理补偿；因国家建设、社会公益事业需要可依照法律程序收回使用权，并依法给予补偿。</w:t>
      </w:r>
    </w:p>
    <w:p w:rsidR="006F7ED8" w:rsidRDefault="006F7ED8" w:rsidP="006F7ED8">
      <w:pPr>
        <w:snapToGrid w:val="0"/>
        <w:spacing w:line="592" w:lineRule="exact"/>
        <w:ind w:firstLineChars="200" w:firstLine="640"/>
      </w:pPr>
      <w:r w:rsidRPr="006F7ED8">
        <w:rPr>
          <w:rFonts w:ascii="黑体" w:eastAsia="黑体"/>
          <w:sz w:val="32"/>
          <w:szCs w:val="32"/>
        </w:rPr>
        <w:t>第二十四条</w:t>
      </w:r>
      <w:r>
        <w:rPr>
          <w:rFonts w:ascii="仿宋_GB2312" w:eastAsia="仿宋_GB2312" w:hint="eastAsia"/>
          <w:b/>
          <w:sz w:val="31"/>
        </w:rPr>
        <w:t xml:space="preserve"> </w:t>
      </w:r>
      <w:r>
        <w:rPr>
          <w:rFonts w:ascii="仿宋_GB2312" w:eastAsia="仿宋_GB2312"/>
          <w:sz w:val="31"/>
        </w:rPr>
        <w:t xml:space="preserve"> 非耕地开发人在本自治县行政区域内申请办理</w:t>
      </w:r>
      <w:r>
        <w:rPr>
          <w:rFonts w:ascii="仿宋_GB2312" w:eastAsia="仿宋_GB2312"/>
          <w:sz w:val="31"/>
        </w:rPr>
        <w:lastRenderedPageBreak/>
        <w:t>城镇户口，应当及时办理。</w:t>
      </w:r>
    </w:p>
    <w:p w:rsidR="006F7ED8" w:rsidRDefault="006F7ED8" w:rsidP="006F7ED8">
      <w:pPr>
        <w:snapToGrid w:val="0"/>
        <w:spacing w:line="592" w:lineRule="exact"/>
        <w:ind w:firstLineChars="200" w:firstLine="620"/>
      </w:pPr>
      <w:r>
        <w:rPr>
          <w:rFonts w:ascii="仿宋_GB2312" w:eastAsia="仿宋_GB2312"/>
          <w:sz w:val="31"/>
        </w:rPr>
        <w:t>凡在本自治县行政区域内的外地非耕地开发人的子女入学、升学和就业，与本自治县居民子女享受同等待遇。</w:t>
      </w:r>
    </w:p>
    <w:p w:rsidR="006F7ED8" w:rsidRDefault="006F7ED8" w:rsidP="006F7ED8">
      <w:pPr>
        <w:snapToGrid w:val="0"/>
        <w:spacing w:line="592" w:lineRule="exact"/>
        <w:ind w:firstLineChars="200" w:firstLine="640"/>
      </w:pPr>
      <w:r w:rsidRPr="006F7ED8">
        <w:rPr>
          <w:rFonts w:ascii="黑体" w:eastAsia="黑体"/>
          <w:sz w:val="32"/>
          <w:szCs w:val="32"/>
        </w:rPr>
        <w:t>第二十五条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违反本条例有关规定的，由自治县人民政府有关行政主管部门依法予以处罚。</w:t>
      </w:r>
    </w:p>
    <w:p w:rsidR="006F7ED8" w:rsidRDefault="006F7ED8" w:rsidP="006F7ED8">
      <w:pPr>
        <w:snapToGrid w:val="0"/>
        <w:spacing w:line="592" w:lineRule="exact"/>
        <w:ind w:firstLineChars="200" w:firstLine="640"/>
      </w:pPr>
      <w:r w:rsidRPr="006F7ED8">
        <w:rPr>
          <w:rFonts w:ascii="黑体" w:eastAsia="黑体"/>
          <w:sz w:val="32"/>
          <w:szCs w:val="32"/>
        </w:rPr>
        <w:t>第二十六条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违反第十二条规定的，处200元以上1000元以下罚款，责令退回违法收取的款项。</w:t>
      </w:r>
    </w:p>
    <w:p w:rsidR="006F7ED8" w:rsidRDefault="006F7ED8" w:rsidP="006F7ED8">
      <w:pPr>
        <w:snapToGrid w:val="0"/>
        <w:spacing w:line="592" w:lineRule="exact"/>
        <w:ind w:firstLineChars="200" w:firstLine="640"/>
      </w:pPr>
      <w:r w:rsidRPr="006F7ED8">
        <w:rPr>
          <w:rFonts w:ascii="黑体" w:eastAsia="黑体"/>
          <w:sz w:val="32"/>
          <w:szCs w:val="32"/>
        </w:rPr>
        <w:t>第二十七条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违反第十五条规定的，追究有关责任人行政责任。</w:t>
      </w:r>
    </w:p>
    <w:p w:rsidR="006F7ED8" w:rsidRDefault="006F7ED8" w:rsidP="006F7ED8">
      <w:pPr>
        <w:snapToGrid w:val="0"/>
        <w:spacing w:line="592" w:lineRule="exact"/>
        <w:ind w:firstLineChars="200" w:firstLine="640"/>
      </w:pPr>
      <w:r w:rsidRPr="006F7ED8">
        <w:rPr>
          <w:rFonts w:ascii="黑体" w:eastAsia="黑体"/>
          <w:sz w:val="32"/>
          <w:szCs w:val="32"/>
        </w:rPr>
        <w:t>第二十八条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违反第二十一条规定，造成损失的，依法赔偿，无偿收回使用权，没收违法所得，并可处500元以上5000元以下罚款。</w:t>
      </w:r>
    </w:p>
    <w:p w:rsidR="006F7ED8" w:rsidRDefault="006F7ED8" w:rsidP="006F7ED8">
      <w:pPr>
        <w:snapToGrid w:val="0"/>
        <w:spacing w:line="592" w:lineRule="exact"/>
        <w:ind w:firstLineChars="200" w:firstLine="640"/>
      </w:pPr>
      <w:r w:rsidRPr="006F7ED8">
        <w:rPr>
          <w:rFonts w:ascii="黑体" w:eastAsia="黑体"/>
          <w:sz w:val="32"/>
          <w:szCs w:val="32"/>
        </w:rPr>
        <w:t>第二十九条</w:t>
      </w:r>
      <w:r>
        <w:rPr>
          <w:rFonts w:ascii="仿宋_GB2312" w:eastAsia="仿宋_GB2312" w:hint="eastAsia"/>
          <w:b/>
          <w:sz w:val="31"/>
        </w:rPr>
        <w:t xml:space="preserve"> </w:t>
      </w:r>
      <w:r>
        <w:rPr>
          <w:rFonts w:ascii="仿宋_GB2312" w:eastAsia="仿宋_GB2312"/>
          <w:sz w:val="31"/>
        </w:rPr>
        <w:t xml:space="preserve"> 对侵犯非耕地开发人的合法权益不及时查处的，依法追究有关部门的责任。</w:t>
      </w:r>
    </w:p>
    <w:p w:rsidR="00F01C90" w:rsidRPr="00417672" w:rsidRDefault="006F7ED8" w:rsidP="006F7ED8">
      <w:pPr>
        <w:snapToGrid w:val="0"/>
        <w:spacing w:line="592" w:lineRule="exact"/>
        <w:ind w:firstLineChars="200" w:firstLine="640"/>
        <w:rPr>
          <w:rFonts w:ascii="仿宋_GB2312" w:eastAsia="仿宋_GB2312" w:hAnsi="仿宋_GB2312" w:cs="仿宋_GB2312"/>
          <w:sz w:val="32"/>
          <w:szCs w:val="32"/>
        </w:rPr>
      </w:pPr>
      <w:r w:rsidRPr="006F7ED8">
        <w:rPr>
          <w:rFonts w:ascii="黑体" w:eastAsia="黑体"/>
          <w:sz w:val="32"/>
          <w:szCs w:val="32"/>
        </w:rPr>
        <w:t>第三十条</w:t>
      </w:r>
      <w:r>
        <w:rPr>
          <w:rFonts w:ascii="仿宋_GB2312" w:eastAsia="仿宋_GB2312"/>
          <w:sz w:val="31"/>
        </w:rPr>
        <w:t xml:space="preserve"> </w:t>
      </w:r>
      <w:r>
        <w:rPr>
          <w:rFonts w:ascii="仿宋_GB2312" w:eastAsia="仿宋_GB2312" w:hint="eastAsia"/>
          <w:sz w:val="31"/>
        </w:rPr>
        <w:t xml:space="preserve"> </w:t>
      </w:r>
      <w:r>
        <w:rPr>
          <w:rFonts w:ascii="仿宋_GB2312" w:eastAsia="仿宋_GB2312"/>
          <w:sz w:val="31"/>
        </w:rPr>
        <w:t>本条例自公布之日起施行。</w:t>
      </w:r>
    </w:p>
    <w:sectPr w:rsidR="00F01C90" w:rsidRPr="00417672"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216EA6">
    <w:pPr>
      <w:pStyle w:val="a3"/>
      <w:rPr>
        <w:rFonts w:ascii="宋体" w:eastAsia="宋体" w:hAnsi="宋体" w:cs="宋体"/>
        <w:sz w:val="28"/>
        <w:szCs w:val="28"/>
      </w:rPr>
    </w:pPr>
    <w:r w:rsidRPr="00216EA6">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216EA6">
                  <w:rPr>
                    <w:sz w:val="28"/>
                    <w:szCs w:val="28"/>
                  </w:rPr>
                  <w:fldChar w:fldCharType="begin"/>
                </w:r>
                <w:r>
                  <w:rPr>
                    <w:rStyle w:val="a7"/>
                    <w:sz w:val="28"/>
                    <w:szCs w:val="28"/>
                  </w:rPr>
                  <w:instrText xml:space="preserve">PAGE  </w:instrText>
                </w:r>
                <w:r w:rsidR="00216EA6">
                  <w:rPr>
                    <w:sz w:val="28"/>
                    <w:szCs w:val="28"/>
                  </w:rPr>
                  <w:fldChar w:fldCharType="separate"/>
                </w:r>
                <w:r w:rsidR="0082271A">
                  <w:rPr>
                    <w:rStyle w:val="a7"/>
                    <w:rFonts w:hint="eastAsia"/>
                    <w:noProof/>
                    <w:sz w:val="28"/>
                    <w:szCs w:val="28"/>
                  </w:rPr>
                  <w:t>2</w:t>
                </w:r>
                <w:r w:rsidR="00216EA6">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216EA6">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040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216EA6">
                  <w:rPr>
                    <w:sz w:val="28"/>
                    <w:szCs w:val="28"/>
                  </w:rPr>
                  <w:fldChar w:fldCharType="begin"/>
                </w:r>
                <w:r>
                  <w:rPr>
                    <w:rStyle w:val="a7"/>
                    <w:sz w:val="28"/>
                    <w:szCs w:val="28"/>
                  </w:rPr>
                  <w:instrText xml:space="preserve">PAGE  </w:instrText>
                </w:r>
                <w:r w:rsidR="00216EA6">
                  <w:rPr>
                    <w:sz w:val="28"/>
                    <w:szCs w:val="28"/>
                  </w:rPr>
                  <w:fldChar w:fldCharType="separate"/>
                </w:r>
                <w:r w:rsidR="0082271A">
                  <w:rPr>
                    <w:rStyle w:val="a7"/>
                    <w:rFonts w:hint="eastAsia"/>
                    <w:noProof/>
                    <w:sz w:val="28"/>
                    <w:szCs w:val="28"/>
                  </w:rPr>
                  <w:t>1</w:t>
                </w:r>
                <w:r w:rsidR="00216EA6">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216EA6"/>
    <w:rsid w:val="00310EB3"/>
    <w:rsid w:val="00414F9E"/>
    <w:rsid w:val="00417672"/>
    <w:rsid w:val="00492A7B"/>
    <w:rsid w:val="006F5C4F"/>
    <w:rsid w:val="006F7ED8"/>
    <w:rsid w:val="0082271A"/>
    <w:rsid w:val="008F60E0"/>
    <w:rsid w:val="00910A35"/>
    <w:rsid w:val="00917155"/>
    <w:rsid w:val="0092009E"/>
    <w:rsid w:val="00A42E52"/>
    <w:rsid w:val="00CA323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2262</Words>
  <Characters>162</Characters>
  <Application>Microsoft Office Word</Application>
  <DocSecurity>0</DocSecurity>
  <Lines>1</Lines>
  <Paragraphs>4</Paragraphs>
  <ScaleCrop>false</ScaleCrop>
  <Company>CHINA</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30</cp:revision>
  <dcterms:created xsi:type="dcterms:W3CDTF">2014-10-29T12:08:00Z</dcterms:created>
  <dcterms:modified xsi:type="dcterms:W3CDTF">2017-03-13T15:07:00Z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