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92" w:lineRule="exact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92" w:lineRule="exact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spacing w:line="64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贵州省人民代表大会常务委员会关于大气</w:t>
      </w:r>
    </w:p>
    <w:p>
      <w:pPr>
        <w:spacing w:line="64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污染物和水污染物环境保护税</w:t>
      </w:r>
    </w:p>
    <w:p>
      <w:pPr>
        <w:spacing w:line="64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适用税额的决定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92" w:lineRule="exact"/>
        <w:ind w:left="638" w:leftChars="202" w:right="641" w:rightChars="203" w:firstLine="0" w:firstLineChars="0"/>
        <w:textAlignment w:val="auto"/>
        <w:outlineLvl w:val="9"/>
        <w:rPr>
          <w:rFonts w:hint="eastAsia" w:ascii="楷体_GB2312" w:hAnsi="楷体" w:eastAsia="楷体_GB2312" w:cs="宋体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92" w:lineRule="exact"/>
        <w:ind w:left="638" w:leftChars="202" w:right="641" w:rightChars="203" w:firstLine="0" w:firstLineChars="0"/>
        <w:textAlignment w:val="auto"/>
        <w:outlineLvl w:val="9"/>
        <w:rPr>
          <w:rFonts w:hint="eastAsia" w:ascii="楷体_GB2312" w:hAnsi="楷体" w:eastAsia="楷体_GB2312" w:cs="宋体"/>
          <w:color w:val="000000"/>
          <w:sz w:val="32"/>
          <w:szCs w:val="32"/>
        </w:rPr>
      </w:pPr>
      <w:r>
        <w:rPr>
          <w:rFonts w:hint="eastAsia" w:ascii="楷体_GB2312" w:hAnsi="楷体" w:eastAsia="楷体_GB2312" w:cs="宋体"/>
          <w:color w:val="000000"/>
          <w:sz w:val="32"/>
          <w:szCs w:val="32"/>
        </w:rPr>
        <w:t>（2017年</w:t>
      </w:r>
      <w:r>
        <w:rPr>
          <w:rFonts w:hint="eastAsia" w:ascii="楷体_GB2312" w:hAnsi="楷体" w:eastAsia="楷体_GB2312" w:cs="宋体"/>
          <w:color w:val="000000"/>
          <w:sz w:val="32"/>
          <w:szCs w:val="32"/>
          <w:lang w:val="en-US" w:eastAsia="zh-CN"/>
        </w:rPr>
        <w:t>9</w:t>
      </w:r>
      <w:r>
        <w:rPr>
          <w:rFonts w:hint="eastAsia" w:ascii="楷体_GB2312" w:hAnsi="楷体" w:eastAsia="楷体_GB2312" w:cs="宋体"/>
          <w:color w:val="000000"/>
          <w:sz w:val="32"/>
          <w:szCs w:val="32"/>
        </w:rPr>
        <w:t>月3</w:t>
      </w:r>
      <w:r>
        <w:rPr>
          <w:rFonts w:hint="eastAsia" w:ascii="楷体_GB2312" w:hAnsi="楷体" w:eastAsia="楷体_GB2312" w:cs="宋体"/>
          <w:color w:val="000000"/>
          <w:sz w:val="32"/>
          <w:szCs w:val="32"/>
          <w:lang w:val="en-US" w:eastAsia="zh-CN"/>
        </w:rPr>
        <w:t>0</w:t>
      </w:r>
      <w:r>
        <w:rPr>
          <w:rFonts w:hint="eastAsia" w:ascii="楷体_GB2312" w:hAnsi="楷体" w:eastAsia="楷体_GB2312" w:cs="宋体"/>
          <w:color w:val="000000"/>
          <w:sz w:val="32"/>
          <w:szCs w:val="32"/>
        </w:rPr>
        <w:t>日贵州省第十二届人民代表大会常务委员会第</w:t>
      </w:r>
      <w:r>
        <w:rPr>
          <w:rFonts w:hint="eastAsia" w:ascii="楷体_GB2312" w:hAnsi="楷体" w:eastAsia="楷体_GB2312" w:cs="宋体"/>
          <w:color w:val="000000"/>
          <w:sz w:val="32"/>
          <w:szCs w:val="32"/>
          <w:lang w:eastAsia="zh-CN"/>
        </w:rPr>
        <w:t>三十一</w:t>
      </w:r>
      <w:r>
        <w:rPr>
          <w:rFonts w:hint="eastAsia" w:ascii="楷体_GB2312" w:hAnsi="楷体" w:eastAsia="楷体_GB2312" w:cs="宋体"/>
          <w:color w:val="000000"/>
          <w:sz w:val="32"/>
          <w:szCs w:val="32"/>
        </w:rPr>
        <w:t>次会议通过）</w:t>
      </w:r>
    </w:p>
    <w:p>
      <w:pPr>
        <w:spacing w:line="600" w:lineRule="exact"/>
        <w:ind w:firstLine="632" w:firstLineChars="200"/>
        <w:rPr>
          <w:rFonts w:hint="eastAsia" w:ascii="楷体_GB2312" w:hAnsi="楷体" w:eastAsia="楷体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楷体" w:eastAsia="仿宋_GB2312"/>
          <w:color w:val="000000"/>
          <w:sz w:val="32"/>
          <w:szCs w:val="32"/>
        </w:rPr>
      </w:pPr>
      <w:bookmarkStart w:id="0" w:name="_GoBack"/>
      <w:r>
        <w:rPr>
          <w:rFonts w:hint="eastAsia" w:ascii="仿宋_GB2312" w:hAnsi="仿宋" w:eastAsia="仿宋_GB2312"/>
          <w:sz w:val="32"/>
          <w:szCs w:val="32"/>
        </w:rPr>
        <w:t>根据《中华人民共和国</w:t>
      </w:r>
      <w:r>
        <w:rPr>
          <w:rFonts w:hint="eastAsia" w:ascii="仿宋_GB2312" w:hAnsi="宋体" w:eastAsia="仿宋_GB2312"/>
          <w:sz w:val="32"/>
          <w:szCs w:val="32"/>
        </w:rPr>
        <w:t>环境保护税法</w:t>
      </w:r>
      <w:r>
        <w:rPr>
          <w:rFonts w:hint="eastAsia" w:ascii="仿宋_GB2312" w:hAnsi="仿宋" w:eastAsia="仿宋_GB2312"/>
          <w:sz w:val="32"/>
          <w:szCs w:val="32"/>
        </w:rPr>
        <w:t>》第六条第二款规定,为保护和改善环境、减少污染物排放、推进我省生态文明建设，统筹考虑我省环境承载能力、污染物排放现状和经济社会生态发展目标要求，贵州省第十二届人民代表大会常务委员会第三十一次会议决定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贵州省应税大气污染物和水污染物的具体适用税额为：</w:t>
      </w:r>
      <w:r>
        <w:rPr>
          <w:rFonts w:hint="eastAsia" w:ascii="仿宋_GB2312" w:eastAsia="仿宋_GB2312"/>
          <w:sz w:val="32"/>
          <w:szCs w:val="32"/>
        </w:rPr>
        <w:t>大气污染物税额标准为每污染当量2.4元；水污染物税额标准为每污染当量2.8元。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省人大常委会将根据我省</w:t>
      </w:r>
      <w:r>
        <w:rPr>
          <w:rFonts w:hint="eastAsia" w:ascii="仿宋_GB2312" w:hAnsi="仿宋" w:eastAsia="仿宋_GB2312"/>
          <w:sz w:val="32"/>
          <w:szCs w:val="32"/>
        </w:rPr>
        <w:t>环境承载能力、污染物排放情况的变化和经济社会生态发展目标要求，适时对税额作出调整。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32" w:firstLineChars="200"/>
        <w:jc w:val="both"/>
        <w:textAlignment w:val="auto"/>
        <w:outlineLvl w:val="9"/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本决定自2018年1月1日起施行。</w:t>
      </w:r>
    </w:p>
    <w:bookmarkEnd w:id="0"/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3862966"/>
    <w:rsid w:val="099F4AE8"/>
    <w:rsid w:val="17FF2ECA"/>
    <w:rsid w:val="185D28CB"/>
    <w:rsid w:val="290C5130"/>
    <w:rsid w:val="35336E7D"/>
    <w:rsid w:val="3F6D52CB"/>
    <w:rsid w:val="464A3F0D"/>
    <w:rsid w:val="66F406C8"/>
    <w:rsid w:val="67B72DFB"/>
    <w:rsid w:val="70CD5701"/>
    <w:rsid w:val="70E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99"/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ScaleCrop>false</ScaleCrop>
  <LinksUpToDate>false</LinksUpToDate>
  <CharactersWithSpaces>13462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2017-10-31T07:15:41Z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