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0C" w:rsidRDefault="00D50A0C">
      <w:pPr>
        <w:spacing w:line="592" w:lineRule="exact"/>
        <w:jc w:val="center"/>
        <w:rPr>
          <w:rFonts w:ascii="宋体" w:cs="宋体"/>
        </w:rPr>
      </w:pPr>
    </w:p>
    <w:p w:rsidR="00D50A0C" w:rsidRDefault="00D50A0C">
      <w:pPr>
        <w:spacing w:line="592" w:lineRule="exact"/>
        <w:jc w:val="center"/>
        <w:rPr>
          <w:rFonts w:ascii="宋体" w:cs="宋体"/>
        </w:rPr>
      </w:pPr>
    </w:p>
    <w:p w:rsidR="00D50A0C" w:rsidRDefault="00D50A0C">
      <w:pPr>
        <w:spacing w:line="592" w:lineRule="exact"/>
        <w:jc w:val="center"/>
        <w:rPr>
          <w:rFonts w:asci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贵州省农业技术推广条例</w:t>
      </w:r>
    </w:p>
    <w:p w:rsidR="00D50A0C" w:rsidRDefault="00D50A0C">
      <w:pPr>
        <w:spacing w:line="592" w:lineRule="exact"/>
        <w:rPr>
          <w:rFonts w:ascii="宋体" w:cs="宋体"/>
        </w:rPr>
      </w:pPr>
    </w:p>
    <w:p w:rsidR="00D50A0C" w:rsidRDefault="00D50A0C">
      <w:pPr>
        <w:spacing w:line="592" w:lineRule="exact"/>
        <w:ind w:leftChars="202" w:left="31680" w:rightChars="203" w:right="31680"/>
        <w:rPr>
          <w:rFonts w:ascii="楷体_GB2312" w:eastAsia="楷体_GB2312"/>
        </w:rPr>
      </w:pPr>
      <w:r>
        <w:rPr>
          <w:rFonts w:ascii="楷体_GB2312" w:eastAsia="楷体_GB2312" w:cs="楷体_GB2312" w:hint="eastAsia"/>
        </w:rPr>
        <w:t>（</w:t>
      </w:r>
      <w:r>
        <w:rPr>
          <w:rFonts w:ascii="楷体_GB2312" w:eastAsia="楷体_GB2312" w:cs="楷体_GB2312"/>
        </w:rPr>
        <w:t>1990</w:t>
      </w:r>
      <w:r>
        <w:rPr>
          <w:rFonts w:ascii="楷体_GB2312" w:eastAsia="楷体_GB2312" w:cs="楷体_GB2312" w:hint="eastAsia"/>
        </w:rPr>
        <w:t>年</w:t>
      </w:r>
      <w:r>
        <w:rPr>
          <w:rFonts w:ascii="楷体_GB2312" w:eastAsia="楷体_GB2312" w:cs="楷体_GB2312"/>
        </w:rPr>
        <w:t>9</w:t>
      </w:r>
      <w:r>
        <w:rPr>
          <w:rFonts w:ascii="楷体_GB2312" w:eastAsia="楷体_GB2312" w:cs="楷体_GB2312" w:hint="eastAsia"/>
        </w:rPr>
        <w:t>月</w:t>
      </w:r>
      <w:r>
        <w:rPr>
          <w:rFonts w:ascii="楷体_GB2312" w:eastAsia="楷体_GB2312" w:cs="楷体_GB2312"/>
        </w:rPr>
        <w:t>25</w:t>
      </w:r>
      <w:r>
        <w:rPr>
          <w:rFonts w:ascii="楷体_GB2312" w:eastAsia="楷体_GB2312" w:cs="楷体_GB2312" w:hint="eastAsia"/>
        </w:rPr>
        <w:t>日贵州省第七届人民代表大会常务委员会第十五次会议通过，</w:t>
      </w:r>
      <w:r>
        <w:rPr>
          <w:rFonts w:ascii="楷体_GB2312" w:eastAsia="楷体_GB2312" w:cs="楷体_GB2312"/>
        </w:rPr>
        <w:t>1990</w:t>
      </w:r>
      <w:r>
        <w:rPr>
          <w:rFonts w:ascii="楷体_GB2312" w:eastAsia="楷体_GB2312" w:cs="楷体_GB2312" w:hint="eastAsia"/>
        </w:rPr>
        <w:t>年</w:t>
      </w:r>
      <w:r>
        <w:rPr>
          <w:rFonts w:ascii="楷体_GB2312" w:eastAsia="楷体_GB2312" w:cs="楷体_GB2312"/>
        </w:rPr>
        <w:t>9</w:t>
      </w:r>
      <w:r>
        <w:rPr>
          <w:rFonts w:ascii="楷体_GB2312" w:eastAsia="楷体_GB2312" w:cs="楷体_GB2312" w:hint="eastAsia"/>
        </w:rPr>
        <w:t>月</w:t>
      </w:r>
      <w:r>
        <w:rPr>
          <w:rFonts w:ascii="楷体_GB2312" w:eastAsia="楷体_GB2312" w:cs="楷体_GB2312"/>
        </w:rPr>
        <w:t>25</w:t>
      </w:r>
      <w:r>
        <w:rPr>
          <w:rFonts w:ascii="楷体_GB2312" w:eastAsia="楷体_GB2312" w:cs="楷体_GB2312" w:hint="eastAsia"/>
        </w:rPr>
        <w:t>日贵州省人民代表大会常务委员会公告公布施行</w:t>
      </w:r>
      <w:r>
        <w:rPr>
          <w:rFonts w:ascii="楷体_GB2312" w:eastAsia="楷体_GB2312" w:cs="楷体_GB2312"/>
        </w:rPr>
        <w:t xml:space="preserve">  </w:t>
      </w:r>
      <w:r>
        <w:rPr>
          <w:rFonts w:ascii="楷体_GB2312" w:eastAsia="楷体_GB2312" w:cs="楷体_GB2312" w:hint="eastAsia"/>
        </w:rPr>
        <w:t>根据</w:t>
      </w:r>
      <w:r>
        <w:rPr>
          <w:rFonts w:ascii="楷体_GB2312" w:eastAsia="楷体_GB2312" w:cs="楷体_GB2312"/>
        </w:rPr>
        <w:t>1994</w:t>
      </w:r>
      <w:r>
        <w:rPr>
          <w:rFonts w:ascii="楷体_GB2312" w:eastAsia="楷体_GB2312" w:cs="楷体_GB2312" w:hint="eastAsia"/>
        </w:rPr>
        <w:t>年</w:t>
      </w:r>
      <w:r>
        <w:rPr>
          <w:rFonts w:ascii="楷体_GB2312" w:eastAsia="楷体_GB2312" w:cs="楷体_GB2312"/>
        </w:rPr>
        <w:t>9</w:t>
      </w:r>
      <w:r>
        <w:rPr>
          <w:rFonts w:ascii="楷体_GB2312" w:eastAsia="楷体_GB2312" w:cs="楷体_GB2312" w:hint="eastAsia"/>
        </w:rPr>
        <w:t>月</w:t>
      </w:r>
      <w:r>
        <w:rPr>
          <w:rFonts w:ascii="楷体_GB2312" w:eastAsia="楷体_GB2312" w:cs="楷体_GB2312"/>
        </w:rPr>
        <w:t>28</w:t>
      </w:r>
      <w:r>
        <w:rPr>
          <w:rFonts w:ascii="楷体_GB2312" w:eastAsia="楷体_GB2312" w:cs="楷体_GB2312" w:hint="eastAsia"/>
        </w:rPr>
        <w:t>日贵州省第八届人民代表大会常务委员会第十一次会议《关于修改〈贵州省农业技术推广条例〉的决定》第一次修正</w:t>
      </w:r>
      <w:r>
        <w:rPr>
          <w:rFonts w:ascii="楷体_GB2312" w:eastAsia="楷体_GB2312" w:cs="楷体_GB2312"/>
        </w:rPr>
        <w:t xml:space="preserve">  </w:t>
      </w:r>
      <w:r>
        <w:rPr>
          <w:rFonts w:ascii="楷体_GB2312" w:eastAsia="楷体_GB2312" w:cs="楷体_GB2312" w:hint="eastAsia"/>
        </w:rPr>
        <w:t>根据</w:t>
      </w:r>
      <w:r>
        <w:rPr>
          <w:rFonts w:ascii="楷体_GB2312" w:eastAsia="楷体_GB2312" w:cs="楷体_GB2312"/>
        </w:rPr>
        <w:t>1998</w:t>
      </w:r>
      <w:r>
        <w:rPr>
          <w:rFonts w:ascii="楷体_GB2312" w:eastAsia="楷体_GB2312" w:cs="楷体_GB2312" w:hint="eastAsia"/>
        </w:rPr>
        <w:t>年</w:t>
      </w:r>
      <w:r>
        <w:rPr>
          <w:rFonts w:ascii="楷体_GB2312" w:eastAsia="楷体_GB2312" w:cs="楷体_GB2312"/>
        </w:rPr>
        <w:t>3</w:t>
      </w:r>
      <w:r>
        <w:rPr>
          <w:rFonts w:ascii="楷体_GB2312" w:eastAsia="楷体_GB2312" w:cs="楷体_GB2312" w:hint="eastAsia"/>
        </w:rPr>
        <w:t>月</w:t>
      </w:r>
      <w:r>
        <w:rPr>
          <w:rFonts w:ascii="楷体_GB2312" w:eastAsia="楷体_GB2312" w:cs="楷体_GB2312"/>
        </w:rPr>
        <w:t>27</w:t>
      </w:r>
      <w:r>
        <w:rPr>
          <w:rFonts w:ascii="楷体_GB2312" w:eastAsia="楷体_GB2312" w:cs="楷体_GB2312" w:hint="eastAsia"/>
        </w:rPr>
        <w:t>日贵州省第九届人民代表大会常务委员会第一次会议通过的《贵州省农业技术推广条例修正案》第二次修正）</w:t>
      </w:r>
    </w:p>
    <w:p w:rsidR="00D50A0C" w:rsidRDefault="00D50A0C">
      <w:pPr>
        <w:spacing w:line="592" w:lineRule="exact"/>
        <w:ind w:firstLineChars="200" w:firstLine="31680"/>
        <w:rPr>
          <w:rFonts w:ascii="宋体" w:cs="宋体"/>
        </w:rPr>
      </w:pPr>
    </w:p>
    <w:p w:rsidR="00D50A0C" w:rsidRDefault="00D50A0C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第一章</w:t>
      </w:r>
      <w:r>
        <w:rPr>
          <w:rFonts w:ascii="黑体" w:eastAsia="黑体" w:cs="黑体"/>
        </w:rPr>
        <w:t xml:space="preserve">  </w:t>
      </w:r>
      <w:r>
        <w:rPr>
          <w:rFonts w:ascii="黑体" w:eastAsia="黑体" w:cs="黑体" w:hint="eastAsia"/>
        </w:rPr>
        <w:t>总</w:t>
      </w:r>
      <w:r>
        <w:rPr>
          <w:rFonts w:ascii="黑体" w:eastAsia="黑体" w:cs="黑体"/>
        </w:rPr>
        <w:t xml:space="preserve"> </w:t>
      </w:r>
      <w:r>
        <w:rPr>
          <w:rFonts w:ascii="黑体" w:eastAsia="黑体" w:cs="黑体" w:hint="eastAsia"/>
        </w:rPr>
        <w:t>则</w:t>
      </w:r>
    </w:p>
    <w:p w:rsidR="00D50A0C" w:rsidRDefault="00D50A0C">
      <w:pPr>
        <w:spacing w:line="592" w:lineRule="exact"/>
        <w:jc w:val="center"/>
        <w:rPr>
          <w:rFonts w:ascii="宋体" w:cs="宋体"/>
        </w:rPr>
      </w:pP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第一条</w:t>
      </w:r>
      <w:r>
        <w:rPr>
          <w:rFonts w:ascii="仿宋_GB2312" w:eastAsia="仿宋_GB2312" w:cs="仿宋_GB2312" w:hint="eastAsia"/>
        </w:rPr>
        <w:t xml:space="preserve">　为了加强农业技术推广工作，促进科研成果和实用技术应用于农业生产，实现农业现代化，根据《中华人民共和国农业技术推广法》和有关法律、法规的规定，结合我省实际情况，制定本条例。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第二条　</w:t>
      </w:r>
      <w:r>
        <w:rPr>
          <w:rFonts w:ascii="仿宋_GB2312" w:eastAsia="仿宋_GB2312" w:cs="仿宋_GB2312" w:hint="eastAsia"/>
        </w:rPr>
        <w:t>本条例所称农业技术，是指应用于种植业、林业、畜牧业、渔业的科研成果和实用技术，包括良种繁育、施用肥料、病虫害防治、栽培和养殖技术，农副产品加工、保鲜、贮运技术，农业机械技术，农田水利、土壤改良和水土保持技术，农村供水、能源利用和农业环境保护技术，农业气象技术以及农业经营管理技术等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第三条　</w:t>
      </w:r>
      <w:r>
        <w:rPr>
          <w:rFonts w:ascii="仿宋_GB2312" w:eastAsia="仿宋_GB2312" w:cs="仿宋_GB2312" w:hint="eastAsia"/>
        </w:rPr>
        <w:t>推广农业技术应当遵循下列原则：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（一）有利于农业的发展；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（二）尊重农业劳动者的意愿；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（三）因地制宜，坚持先试验、示范，然后推广；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（四）国家、农村集体经济组织扶持；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（五）实行科研单位、有关学校、推广机构与群众性科技组织、科技人员、农业劳动者相结合；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（六）讲求农业生产的经济效益、社会效益和生态效益。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第四条　</w:t>
      </w:r>
      <w:r>
        <w:rPr>
          <w:rFonts w:ascii="仿宋_GB2312" w:eastAsia="仿宋_GB2312" w:cs="仿宋_GB2312" w:hint="eastAsia"/>
        </w:rPr>
        <w:t>推广农业技术应当坚持技术服务为主，并与科技信息服务、经营服务相结合的原则，因地制宜地进行产前、产中、产后服务。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第五条　</w:t>
      </w:r>
      <w:r>
        <w:rPr>
          <w:rFonts w:ascii="仿宋_GB2312" w:eastAsia="仿宋_GB2312" w:cs="仿宋_GB2312" w:hint="eastAsia"/>
        </w:rPr>
        <w:t>各级人民政府应当加强对农业技术推广工作的领导，依靠科学技术进步和发展教育，加快农业技术的普及应用。切实解决农业技术推广中的实际问题。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县级以上人民政府农业、林业、畜牧、水利、农机等行政部门（以下统称农业行政部门），按照各自的职责，在同级人民政府的领导下，负责所辖区域的农业技术推广工作。同级人民政府科学技术行政部门对农业技术推广工作进行指导。</w:t>
      </w:r>
    </w:p>
    <w:p w:rsidR="00D50A0C" w:rsidRDefault="00D50A0C">
      <w:pPr>
        <w:spacing w:line="592" w:lineRule="exact"/>
        <w:rPr>
          <w:rFonts w:ascii="仿宋_GB2312" w:eastAsia="仿宋_GB2312"/>
        </w:rPr>
      </w:pPr>
    </w:p>
    <w:p w:rsidR="00D50A0C" w:rsidRDefault="00D50A0C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第二章　农业技术推广体系</w:t>
      </w:r>
    </w:p>
    <w:p w:rsidR="00D50A0C" w:rsidRDefault="00D50A0C">
      <w:pPr>
        <w:spacing w:line="592" w:lineRule="exact"/>
        <w:jc w:val="center"/>
        <w:rPr>
          <w:rFonts w:ascii="仿宋_GB2312" w:eastAsia="仿宋_GB2312"/>
        </w:rPr>
      </w:pP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第六条　</w:t>
      </w:r>
      <w:r>
        <w:rPr>
          <w:rFonts w:ascii="仿宋_GB2312" w:eastAsia="仿宋_GB2312" w:cs="仿宋_GB2312" w:hint="eastAsia"/>
        </w:rPr>
        <w:t>农业技术推广体系包括：国家设置的农业、林业、畜牧业、渔业、水电、农业机械技术推广机构以及农业科研单位、有关学校，群众性农业科技组织和农民技术员、农业科学技术示范户。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第七条</w:t>
      </w:r>
      <w:r>
        <w:rPr>
          <w:rFonts w:ascii="仿宋_GB2312" w:eastAsia="仿宋_GB2312" w:cs="仿宋_GB2312" w:hint="eastAsia"/>
        </w:rPr>
        <w:t xml:space="preserve">　国家设置的县级以上农业技术推广机构受同级农业行政部门的领导，并受上级农业技术推广机构的指导。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乡、镇农业技术推广机构受县级农业行政部门和乡、镇人民政府的双重领导。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县级农业行政部门负责乡、镇农业技术推广机构的政策、业务指导和人员、资产、财务管理，在征求乡、镇人民政府意见后，按照规定程序任免其主要负责人；乡、镇人民政府配合县级农业行政部门做好乡、镇农业技术推广机构人员的管理工作，负责协调、监督等行政管理，提供必要的工作和生活条件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第八条　</w:t>
      </w:r>
      <w:r>
        <w:rPr>
          <w:rFonts w:ascii="仿宋_GB2312" w:eastAsia="仿宋_GB2312" w:cs="仿宋_GB2312" w:hint="eastAsia"/>
        </w:rPr>
        <w:t>省、市、州、地农业技术推广机构的主要职责是：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（一）参与编制农业技术推广长远规划和年度计划；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（二）负责重大科技成果的推广和先进技术的引进，提高科技成果的转化率与覆盖率；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（三）参加农业商品生产基地建设，实施综合技术，建立高产、优质、高效益示范点；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（四）广泛开展各种形式的实用技术培训，普及农业科学技术知识，健全和完善各级农业技术推广体系和信息网络；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（五）总结交流农业技术推广工作的经验；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（六）搜集、整理、传递农业科学技术情报和经济信息；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（七）参与有关科技成果的技术鉴定。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第九条　</w:t>
      </w:r>
      <w:r>
        <w:rPr>
          <w:rFonts w:ascii="仿宋_GB2312" w:eastAsia="仿宋_GB2312" w:cs="仿宋_GB2312" w:hint="eastAsia"/>
        </w:rPr>
        <w:t>县级农业技术推广机构的主要职责是：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（一）参与制定并实施全县农业技术推广计划；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（二）总结推广本地先进经验，引进新技术；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（三）参加农业商品生产基地建设，建立高产、优质、高效益示范点；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（四）开展农业技术指导、技术咨询、技术培训、技术承包；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（五）搜集、整理、传递农业科学技术情报和经济信息；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（六）发展和完善乡、镇、村农业技术推广服务组织。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第十条　</w:t>
      </w:r>
      <w:r>
        <w:rPr>
          <w:rFonts w:ascii="仿宋_GB2312" w:eastAsia="仿宋_GB2312" w:cs="仿宋_GB2312" w:hint="eastAsia"/>
        </w:rPr>
        <w:t>乡、镇农业技术推广机构的主要职责是：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（一）宣传、普及农业技术知识，培训农民技术员、科技示范户；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（二）推广科技成果和实用技术；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（三）开展技术服务和技术承包。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第十一条　</w:t>
      </w:r>
      <w:r>
        <w:rPr>
          <w:rFonts w:ascii="仿宋_GB2312" w:eastAsia="仿宋_GB2312" w:cs="仿宋_GB2312" w:hint="eastAsia"/>
        </w:rPr>
        <w:t>乡、镇、村、组群众性的农业技术服务组织，在乡、镇农业技术推广机构和有关单位的指导下，开展农业技术推广工作。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第十二条　</w:t>
      </w:r>
      <w:r>
        <w:rPr>
          <w:rFonts w:ascii="仿宋_GB2312" w:eastAsia="仿宋_GB2312" w:cs="仿宋_GB2312" w:hint="eastAsia"/>
        </w:rPr>
        <w:t>农民技术员、农业科学技术示范户，应当指导和带动农民推广农业技术。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第十三条　</w:t>
      </w:r>
      <w:r>
        <w:rPr>
          <w:rFonts w:ascii="仿宋_GB2312" w:eastAsia="仿宋_GB2312" w:cs="仿宋_GB2312" w:hint="eastAsia"/>
        </w:rPr>
        <w:t>有关学校、科研单位、国有农林牧渔场和群众性农业技术服务组织、专业技术协会、研究会应当参加农业技术推广工作。重大农业技术推广项目，在农业行政部门或者科技行政部门的组织协调下进行。</w:t>
      </w:r>
    </w:p>
    <w:p w:rsidR="00D50A0C" w:rsidRDefault="00D50A0C">
      <w:pPr>
        <w:spacing w:line="592" w:lineRule="exact"/>
        <w:jc w:val="center"/>
        <w:rPr>
          <w:rFonts w:ascii="仿宋_GB2312" w:eastAsia="仿宋_GB2312"/>
        </w:rPr>
      </w:pPr>
    </w:p>
    <w:p w:rsidR="00D50A0C" w:rsidRDefault="00D50A0C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第三章</w:t>
      </w:r>
      <w:r>
        <w:rPr>
          <w:rFonts w:ascii="黑体" w:eastAsia="黑体" w:cs="黑体"/>
        </w:rPr>
        <w:t xml:space="preserve">  </w:t>
      </w:r>
      <w:r>
        <w:rPr>
          <w:rFonts w:ascii="黑体" w:eastAsia="黑体" w:cs="黑体" w:hint="eastAsia"/>
        </w:rPr>
        <w:t>农业技术推广队伍</w:t>
      </w:r>
    </w:p>
    <w:p w:rsidR="00D50A0C" w:rsidRDefault="00D50A0C">
      <w:pPr>
        <w:spacing w:line="592" w:lineRule="exact"/>
        <w:jc w:val="center"/>
        <w:rPr>
          <w:rFonts w:ascii="仿宋_GB2312" w:eastAsia="仿宋_GB2312"/>
        </w:rPr>
      </w:pP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第十四条　</w:t>
      </w:r>
      <w:r>
        <w:rPr>
          <w:rFonts w:ascii="仿宋_GB2312" w:eastAsia="仿宋_GB2312" w:cs="仿宋_GB2312" w:hint="eastAsia"/>
        </w:rPr>
        <w:t>各级人民政府应当采取有效措施，稳定和发展农业技术推广队伍，切实改善农业技术人员工作条件和生活条件，保证他们从事本职工作的时间，有计划地对他们进行技术培训，组织专业进修，使其不断更新知识，提高业务水平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第十五条　</w:t>
      </w:r>
      <w:r>
        <w:rPr>
          <w:rFonts w:ascii="仿宋_GB2312" w:eastAsia="仿宋_GB2312" w:cs="仿宋_GB2312" w:hint="eastAsia"/>
        </w:rPr>
        <w:t>各级农业技术推广机构应当配备相应的专业技术人员。对在职的农业技术人员，应当按照国家有关规定进行考核，评定技术职称和聘任专业技术职务。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对在乡、镇、村从事农业技术推广工作的科技人员，职称评定应当以考核其推广工作的业务技术水平和实绩为主。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农民技术人员经过考核，符合条件的，可以授予相应的技术职称，发给职称证书。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第十六条　</w:t>
      </w:r>
      <w:r>
        <w:rPr>
          <w:rFonts w:ascii="仿宋_GB2312" w:eastAsia="仿宋_GB2312" w:cs="仿宋_GB2312" w:hint="eastAsia"/>
        </w:rPr>
        <w:t>各级农业行政部门应当组织各级农业技术推广机构、有关学校、科研单位对农民技术人员进行培训，不断提高他们的业务水平。</w:t>
      </w:r>
    </w:p>
    <w:p w:rsidR="00D50A0C" w:rsidRDefault="00D50A0C">
      <w:pPr>
        <w:spacing w:line="592" w:lineRule="exact"/>
        <w:rPr>
          <w:rFonts w:ascii="仿宋_GB2312" w:eastAsia="仿宋_GB2312"/>
        </w:rPr>
      </w:pPr>
    </w:p>
    <w:p w:rsidR="00D50A0C" w:rsidRDefault="00D50A0C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第四章</w:t>
      </w:r>
      <w:r>
        <w:rPr>
          <w:rFonts w:ascii="黑体" w:eastAsia="黑体" w:cs="黑体"/>
        </w:rPr>
        <w:t xml:space="preserve">  </w:t>
      </w:r>
      <w:r>
        <w:rPr>
          <w:rFonts w:ascii="黑体" w:eastAsia="黑体" w:cs="黑体" w:hint="eastAsia"/>
        </w:rPr>
        <w:t>农业技术推广管理</w:t>
      </w:r>
    </w:p>
    <w:p w:rsidR="00D50A0C" w:rsidRDefault="00D50A0C">
      <w:pPr>
        <w:spacing w:line="592" w:lineRule="exact"/>
        <w:jc w:val="center"/>
        <w:rPr>
          <w:rFonts w:ascii="仿宋_GB2312" w:eastAsia="仿宋_GB2312"/>
        </w:rPr>
      </w:pP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第十七条　</w:t>
      </w:r>
      <w:r>
        <w:rPr>
          <w:rFonts w:ascii="仿宋_GB2312" w:eastAsia="仿宋_GB2312" w:cs="仿宋_GB2312" w:hint="eastAsia"/>
        </w:rPr>
        <w:t>各级农业技术推广机构应当建立健全岗位责任制，实行目标管理。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第十八条　</w:t>
      </w:r>
      <w:r>
        <w:rPr>
          <w:rFonts w:ascii="仿宋_GB2312" w:eastAsia="仿宋_GB2312" w:cs="仿宋_GB2312" w:hint="eastAsia"/>
        </w:rPr>
        <w:t>农业技术推广机构和农业技术人员，应当严格坚持科学态度，敢于抵制违背科学规律的行为。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第十九条　</w:t>
      </w:r>
      <w:r>
        <w:rPr>
          <w:rFonts w:ascii="仿宋_GB2312" w:eastAsia="仿宋_GB2312" w:cs="仿宋_GB2312" w:hint="eastAsia"/>
        </w:rPr>
        <w:t>各级人民政府应当增加对农业技术推广的投入，通过多种渠道筹集农业技术推广资金，发展农业技术推广事业。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国家设置的农业技术推广机构推广农业技术所需的经费，由政府财政拨给。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发展改革、财政等部门对推广农业技术的基础设施、专项投资应当根据财政收入、资金来源增长情况逐年增加。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第二十条　</w:t>
      </w:r>
      <w:r>
        <w:rPr>
          <w:rFonts w:ascii="仿宋_GB2312" w:eastAsia="仿宋_GB2312" w:cs="仿宋_GB2312" w:hint="eastAsia"/>
        </w:rPr>
        <w:t>农业技术推广机构可以通过自筹、引进资金、技术承包、技术开发、兴办服务实体等形式，增加自我发展能力。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第二十一条　</w:t>
      </w:r>
      <w:r>
        <w:rPr>
          <w:rFonts w:ascii="仿宋_GB2312" w:eastAsia="仿宋_GB2312" w:cs="仿宋_GB2312" w:hint="eastAsia"/>
        </w:rPr>
        <w:t>各级农业技术推广机构应当建立健全财务制度，加强财务管理，严格财经纪律。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第二十二条　</w:t>
      </w:r>
      <w:r>
        <w:rPr>
          <w:rFonts w:ascii="仿宋_GB2312" w:eastAsia="仿宋_GB2312" w:cs="仿宋_GB2312" w:hint="eastAsia"/>
        </w:rPr>
        <w:t>各级农业技术推广机构和各项资金、物资和固定资产，任何单位和个人不得平调或者占用。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第二十三条　</w:t>
      </w:r>
      <w:r>
        <w:rPr>
          <w:rFonts w:ascii="仿宋_GB2312" w:eastAsia="仿宋_GB2312" w:cs="仿宋_GB2312" w:hint="eastAsia"/>
        </w:rPr>
        <w:t>农业技术推广机构和农业技术人员，可以采用多种形式对农业生产项目进行技术承包或者集团承包。技术承包或者集团承包应当坚持双方自愿，合理奖赔的原则，签订合同，明确权利、义务。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第二十四条　</w:t>
      </w:r>
      <w:r>
        <w:rPr>
          <w:rFonts w:ascii="仿宋_GB2312" w:eastAsia="仿宋_GB2312" w:cs="仿宋_GB2312" w:hint="eastAsia"/>
        </w:rPr>
        <w:t>农业技术推广机构应当联系经济效益计算报酬，实行按劳分配，多劳多得。</w:t>
      </w:r>
    </w:p>
    <w:p w:rsidR="00D50A0C" w:rsidRDefault="00D50A0C">
      <w:pPr>
        <w:spacing w:line="592" w:lineRule="exact"/>
        <w:rPr>
          <w:rFonts w:ascii="仿宋_GB2312" w:eastAsia="仿宋_GB2312"/>
        </w:rPr>
      </w:pPr>
    </w:p>
    <w:p w:rsidR="00D50A0C" w:rsidRDefault="00D50A0C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第五章　服务性经营</w:t>
      </w:r>
    </w:p>
    <w:p w:rsidR="00D50A0C" w:rsidRDefault="00D50A0C">
      <w:pPr>
        <w:spacing w:line="592" w:lineRule="exact"/>
        <w:jc w:val="center"/>
        <w:rPr>
          <w:rFonts w:ascii="仿宋_GB2312" w:eastAsia="仿宋_GB2312"/>
        </w:rPr>
      </w:pP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第二十五条　</w:t>
      </w:r>
      <w:r>
        <w:rPr>
          <w:rFonts w:ascii="仿宋_GB2312" w:eastAsia="仿宋_GB2312" w:cs="仿宋_GB2312" w:hint="eastAsia"/>
        </w:rPr>
        <w:t>农业技术推广机构、农业科研单位、有关学校以及科技人员，以技术转让、技术服务和技术承包等形式提供农业技术的，可以实行有偿服务，其合法收入受法律保护。进行农业技术转让、技术服务和技术承包，当事人应当订立合同，约定各自的权利和义务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第二十六条　</w:t>
      </w:r>
      <w:r>
        <w:rPr>
          <w:rFonts w:ascii="仿宋_GB2312" w:eastAsia="仿宋_GB2312" w:cs="仿宋_GB2312" w:hint="eastAsia"/>
        </w:rPr>
        <w:t>农业技术推广机构开展技术推广和有偿技术服务所需配套的化肥、农药、农膜（含地膜）等农业生产资料，按照国家有关规定办理。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第二十七条　</w:t>
      </w:r>
      <w:r>
        <w:rPr>
          <w:rFonts w:ascii="仿宋_GB2312" w:eastAsia="仿宋_GB2312" w:cs="仿宋_GB2312" w:hint="eastAsia"/>
        </w:rPr>
        <w:t>各级农业技术推广机构根据农业技术推广的需要，可以兴办或者附设经营性服务实体，并依法向工商行政管理机关办理营业登记。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第二十八条　</w:t>
      </w:r>
      <w:r>
        <w:rPr>
          <w:rFonts w:ascii="仿宋_GB2312" w:eastAsia="仿宋_GB2312" w:cs="仿宋_GB2312" w:hint="eastAsia"/>
        </w:rPr>
        <w:t>农业技术推广机构开展服务性经营和有偿服务的收入，主要用于发展农业技术推广事业，部分用于改善职工工作、生活条件，奖励有成绩的农业技术人员。</w:t>
      </w:r>
    </w:p>
    <w:p w:rsidR="00D50A0C" w:rsidRDefault="00D50A0C">
      <w:pPr>
        <w:spacing w:line="592" w:lineRule="exact"/>
        <w:rPr>
          <w:rFonts w:ascii="仿宋_GB2312" w:eastAsia="仿宋_GB2312"/>
        </w:rPr>
      </w:pPr>
    </w:p>
    <w:p w:rsidR="00D50A0C" w:rsidRDefault="00D50A0C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第六章　奖　惩</w:t>
      </w:r>
    </w:p>
    <w:p w:rsidR="00D50A0C" w:rsidRDefault="00D50A0C">
      <w:pPr>
        <w:spacing w:line="592" w:lineRule="exact"/>
        <w:jc w:val="center"/>
        <w:rPr>
          <w:rFonts w:ascii="仿宋_GB2312" w:eastAsia="仿宋_GB2312"/>
        </w:rPr>
      </w:pP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第二十九条</w:t>
      </w:r>
      <w:r>
        <w:rPr>
          <w:rFonts w:ascii="仿宋_GB2312" w:eastAsia="仿宋_GB2312" w:cs="仿宋_GB2312" w:hint="eastAsia"/>
        </w:rPr>
        <w:t xml:space="preserve">　在贫困县或者在非贫困县的乡、镇以下从事农业技术工作的在职各类农业技术人员，享受国家规定的有关优惠待遇。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第三十条</w:t>
      </w:r>
      <w:r>
        <w:rPr>
          <w:rFonts w:ascii="仿宋_GB2312" w:eastAsia="仿宋_GB2312" w:cs="仿宋_GB2312" w:hint="eastAsia"/>
        </w:rPr>
        <w:t xml:space="preserve">　在县和县以下从事农业技术推广工作的男性农业技术人员，累计</w:t>
      </w:r>
      <w:r>
        <w:rPr>
          <w:rFonts w:ascii="仿宋_GB2312" w:eastAsia="仿宋_GB2312" w:cs="仿宋_GB2312"/>
        </w:rPr>
        <w:t>25</w:t>
      </w:r>
      <w:r>
        <w:rPr>
          <w:rFonts w:ascii="仿宋_GB2312" w:eastAsia="仿宋_GB2312" w:cs="仿宋_GB2312" w:hint="eastAsia"/>
        </w:rPr>
        <w:t>年以上者；女性农业技术人员累计</w:t>
      </w:r>
      <w:r>
        <w:rPr>
          <w:rFonts w:ascii="仿宋_GB2312" w:eastAsia="仿宋_GB2312" w:cs="仿宋_GB2312"/>
        </w:rPr>
        <w:t>20</w:t>
      </w:r>
      <w:r>
        <w:rPr>
          <w:rFonts w:ascii="仿宋_GB2312" w:eastAsia="仿宋_GB2312" w:cs="仿宋_GB2312" w:hint="eastAsia"/>
        </w:rPr>
        <w:t>年以上者，由省人民政府颁发荣誉证书和证章，并予以物质奖励，有突出贡献的给予重奖。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第三十一条　</w:t>
      </w:r>
      <w:r>
        <w:rPr>
          <w:rFonts w:ascii="仿宋_GB2312" w:eastAsia="仿宋_GB2312" w:cs="仿宋_GB2312" w:hint="eastAsia"/>
        </w:rPr>
        <w:t>对在农业技术推广工作中做出贡献的单位和个人，分别由县级以上人民政府或者农业行政部门给予精神和物质奖励：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（一）推广农业科学技术成果，促进农业生产发展，取得显著成绩者；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（二）坚持试验、示范，取得显著效果，具有推广价值者；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（三）普及农业科学知识，培训农业技术人才，提高农民素质，成绩显著者；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（四）农业技术咨询、技术承包、信息服务取得显著效益者；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（五）支持农业技术推广工作，促进农业生产发展取得显著成绩者。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第三十二条　</w:t>
      </w:r>
      <w:r>
        <w:rPr>
          <w:rFonts w:ascii="仿宋_GB2312" w:eastAsia="仿宋_GB2312" w:cs="仿宋_GB2312" w:hint="eastAsia"/>
        </w:rPr>
        <w:t>有下列行为之一的单位或者个人，按照以下规定处理：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（一）推广未经鉴定、试验、示范的农业技术，造成经济损失的，由推广方负责赔偿；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（二）违反科学规律、干预农业技术推广工作，造成经济损失的，由干预方负责赔偿，并可以对直接责任者给予行政处分或者罚款；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（三）生产、经营伪劣农业生产资料者，没收其非法所得，并处以罚款。造成经济损失的，由生产、经营者负责赔偿。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经济责任、经济损失的程度和赔款数额，由县级以上农业行政部门会同有关部门核实确定。</w:t>
      </w:r>
    </w:p>
    <w:p w:rsidR="00D50A0C" w:rsidRDefault="00D50A0C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 xml:space="preserve">第三十三条　</w:t>
      </w:r>
      <w:r>
        <w:rPr>
          <w:rFonts w:ascii="仿宋_GB2312" w:eastAsia="仿宋_GB2312" w:cs="仿宋_GB2312" w:hint="eastAsia"/>
        </w:rPr>
        <w:t>违反本条例第二十二条规定的，由当地人民政府责令其退还并赔偿经济损失，情节严重的，应当对责任者给予行政处分。</w:t>
      </w:r>
    </w:p>
    <w:p w:rsidR="00D50A0C" w:rsidRDefault="00D50A0C">
      <w:pPr>
        <w:spacing w:line="592" w:lineRule="exact"/>
        <w:ind w:firstLineChars="200" w:firstLine="31680"/>
      </w:pPr>
      <w:r>
        <w:rPr>
          <w:rFonts w:ascii="黑体" w:eastAsia="黑体" w:cs="黑体" w:hint="eastAsia"/>
        </w:rPr>
        <w:t xml:space="preserve">第三十四条　</w:t>
      </w:r>
      <w:r>
        <w:rPr>
          <w:rFonts w:ascii="仿宋_GB2312" w:eastAsia="仿宋_GB2312" w:cs="仿宋_GB2312" w:hint="eastAsia"/>
        </w:rPr>
        <w:t>本条例自公布之日起施行。</w:t>
      </w:r>
    </w:p>
    <w:sectPr w:rsidR="00D50A0C" w:rsidSect="00D50A0C">
      <w:footerReference w:type="default" r:id="rId6"/>
      <w:pgSz w:w="11906" w:h="16838"/>
      <w:pgMar w:top="1928" w:right="1531" w:bottom="1701" w:left="1531" w:header="851" w:footer="1531" w:gutter="0"/>
      <w:cols w:space="720"/>
      <w:docGrid w:type="linesAndChars" w:linePitch="600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A0C" w:rsidRDefault="00D50A0C">
      <w:r>
        <w:separator/>
      </w:r>
    </w:p>
  </w:endnote>
  <w:endnote w:type="continuationSeparator" w:id="1">
    <w:p w:rsidR="00D50A0C" w:rsidRDefault="00D50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A0C" w:rsidRDefault="00D50A0C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104pt;margin-top:0;width:2in;height:2in;z-index:251660288;mso-wrap-style:none;mso-position-horizontal:outside;mso-position-horizontal-relative:margin" filled="f" stroked="f">
          <v:fill o:detectmouseclick="t"/>
          <v:textbox style="mso-fit-shape-to-text:t" inset="0,0,0,0">
            <w:txbxContent>
              <w:p w:rsidR="00D50A0C" w:rsidRDefault="00D50A0C">
                <w:pPr>
                  <w:pStyle w:val="Footer"/>
                  <w:rPr>
                    <w:rStyle w:val="PageNumber"/>
                    <w:rFonts w:ascii="宋体" w:cs="宋体"/>
                    <w:sz w:val="28"/>
                    <w:szCs w:val="28"/>
                  </w:rPr>
                </w:pPr>
                <w:r>
                  <w:rPr>
                    <w:rStyle w:val="PageNumber"/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Style w:val="PageNumber"/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Style w:val="PageNumber"/>
                    <w:rFonts w:ascii="宋体" w:hAnsi="宋体" w:cs="宋体"/>
                    <w:sz w:val="28"/>
                    <w:szCs w:val="28"/>
                  </w:rPr>
                  <w:instrText xml:space="preserve">PAGE  </w:instrText>
                </w:r>
                <w:r>
                  <w:rPr>
                    <w:rStyle w:val="PageNumber"/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Style w:val="PageNumber"/>
                    <w:rFonts w:ascii="宋体" w:hAnsi="宋体" w:cs="宋体"/>
                    <w:noProof/>
                    <w:sz w:val="28"/>
                    <w:szCs w:val="28"/>
                  </w:rPr>
                  <w:t>1</w:t>
                </w:r>
                <w:r>
                  <w:rPr>
                    <w:rStyle w:val="PageNumber"/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Style w:val="PageNumber"/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A0C" w:rsidRDefault="00D50A0C">
      <w:r>
        <w:separator/>
      </w:r>
    </w:p>
  </w:footnote>
  <w:footnote w:type="continuationSeparator" w:id="1">
    <w:p w:rsidR="00D50A0C" w:rsidRDefault="00D50A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3436"/>
    <w:rsid w:val="000759E2"/>
    <w:rsid w:val="000D3436"/>
    <w:rsid w:val="000F3C1B"/>
    <w:rsid w:val="00305277"/>
    <w:rsid w:val="003C0201"/>
    <w:rsid w:val="0059005A"/>
    <w:rsid w:val="005A78A6"/>
    <w:rsid w:val="005D794A"/>
    <w:rsid w:val="005E1AF0"/>
    <w:rsid w:val="0099005B"/>
    <w:rsid w:val="00C37587"/>
    <w:rsid w:val="00D50A0C"/>
    <w:rsid w:val="00FA0683"/>
    <w:rsid w:val="15B433C9"/>
    <w:rsid w:val="24AF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23AC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0F3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23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9</Pages>
  <Words>557</Words>
  <Characters>3178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贵州省农业技术推广条例</dc:title>
  <dc:subject/>
  <dc:creator>YLmF</dc:creator>
  <cp:keywords/>
  <dc:description/>
  <cp:lastModifiedBy>Windows 用户</cp:lastModifiedBy>
  <cp:revision>2</cp:revision>
  <dcterms:created xsi:type="dcterms:W3CDTF">2017-03-23T07:14:00Z</dcterms:created>
  <dcterms:modified xsi:type="dcterms:W3CDTF">2017-03-23T07:14:00Z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