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600" w:lineRule="exact"/>
        <w:ind w:left="0" w:right="0"/>
        <w:jc w:val="center"/>
        <w:rPr>
          <w:rFonts w:hint="eastAsia" w:ascii="方正小标宋_GBK" w:hAnsi="方正小标宋_GBK" w:eastAsia="方正小标宋_GBK" w:cs="方正小标宋_GBK"/>
          <w:color w:val="000000"/>
          <w:sz w:val="44"/>
          <w:szCs w:val="44"/>
          <w:lang w:val="en-US"/>
        </w:rPr>
      </w:pPr>
    </w:p>
    <w:p>
      <w:pPr>
        <w:keepNext w:val="0"/>
        <w:keepLines w:val="0"/>
        <w:widowControl w:val="0"/>
        <w:suppressLineNumbers w:val="0"/>
        <w:spacing w:before="0" w:beforeAutospacing="0" w:after="0" w:afterAutospacing="0" w:line="600" w:lineRule="exact"/>
        <w:ind w:left="0" w:right="0"/>
        <w:jc w:val="both"/>
        <w:rPr>
          <w:rFonts w:hint="eastAsia" w:ascii="方正小标宋_GBK" w:hAnsi="方正小标宋_GBK" w:eastAsia="方正小标宋_GBK" w:cs="方正小标宋_GBK"/>
          <w:color w:val="000000"/>
          <w:kern w:val="2"/>
          <w:sz w:val="44"/>
          <w:szCs w:val="44"/>
          <w:lang w:val="en-US" w:eastAsia="zh-CN" w:bidi="ar"/>
        </w:rPr>
      </w:pPr>
    </w:p>
    <w:p>
      <w:pPr>
        <w:keepNext w:val="0"/>
        <w:keepLines w:val="0"/>
        <w:widowControl w:val="0"/>
        <w:suppressLineNumbers w:val="0"/>
        <w:spacing w:before="0" w:beforeAutospacing="0" w:after="0" w:afterAutospacing="0" w:line="60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r>
        <w:rPr>
          <w:rFonts w:hint="eastAsia" w:asciiTheme="majorEastAsia" w:hAnsiTheme="majorEastAsia" w:eastAsiaTheme="majorEastAsia" w:cstheme="majorEastAsia"/>
          <w:color w:val="000000"/>
          <w:kern w:val="2"/>
          <w:sz w:val="44"/>
          <w:szCs w:val="44"/>
          <w:lang w:val="en-US" w:eastAsia="zh-CN" w:bidi="ar"/>
        </w:rPr>
        <w:t>贵州省地质环境管理条例</w:t>
      </w:r>
    </w:p>
    <w:p>
      <w:pPr>
        <w:keepNext w:val="0"/>
        <w:keepLines w:val="0"/>
        <w:widowControl w:val="0"/>
        <w:suppressLineNumbers w:val="0"/>
        <w:spacing w:before="0" w:beforeAutospacing="0" w:after="0" w:afterAutospacing="0" w:line="600" w:lineRule="exact"/>
        <w:ind w:left="0" w:right="0"/>
        <w:jc w:val="both"/>
        <w:rPr>
          <w:rFonts w:hint="eastAsia" w:ascii="方正小标宋_GBK" w:hAnsi="方正小标宋_GBK" w:eastAsia="方正小标宋_GBK" w:cs="方正小标宋_GBK"/>
          <w:color w:val="00000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 xml:space="preserve">（2006年11月24日贵州省第十届人民代表大会常务委员会第二十四次会议通过  自2007年3月1日起施行  </w:t>
      </w:r>
      <w:r>
        <w:rPr>
          <w:rFonts w:hint="eastAsia" w:ascii="楷体_GB2312" w:hAnsi="楷体" w:eastAsia="楷体_GB2312" w:cs="楷体"/>
          <w:color w:val="000000"/>
          <w:kern w:val="2"/>
          <w:sz w:val="32"/>
          <w:szCs w:val="32"/>
          <w:lang w:val="en-US" w:eastAsia="zh-CN" w:bidi="ar"/>
        </w:rPr>
        <w:t>根据2017年11月30日贵州省第十二届人民代表大会常务委员会第三十二次会议通过的《贵州省人民代表大会常务委员会关于修改〈贵州省建筑市场管理条例〉等二十五件法规个别条款的决定》第一次修正  根据2018年11月29日贵州省第十三届人民代表大会常务委员会第七次会议通过的《贵州省人民代表大会常务委员会关于修改〈贵州省大气污染防治条例〉等地方性法规个别条款的决定》第二次修正</w:t>
      </w:r>
      <w:r>
        <w:rPr>
          <w:rFonts w:hint="eastAsia" w:ascii="楷体_GB2312" w:hAnsi="Times New Roman" w:eastAsia="楷体_GB2312" w:cs="楷体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Times New Roman" w:eastAsia="仿宋_GB2312" w:cs="仿宋_GB2312"/>
          <w:color w:val="000000"/>
          <w:kern w:val="2"/>
          <w:sz w:val="32"/>
          <w:szCs w:val="32"/>
          <w:lang w:val="en-US" w:eastAsia="zh-CN" w:bidi="ar"/>
        </w:rPr>
        <w:t xml:space="preserve"> 为了保护和合理利用地质环境，防治地质灾害，保护公共财产和公民生命财产安全，促进经济和社会的可持续发展，根据《中华人民共和国矿产资源法》、《地质灾害防治条例》等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本条例所称地质环境，是指影响人类生存和发展的各种岩体、土体、地下水、矿藏等地质体及其活动的总和。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在本省行政区域内从事地质环境影响评价和监测、地质灾害防治、矿山地质环境保护以及地质遗迹保护等活动，适用本条例。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第四条 </w:t>
      </w:r>
      <w:r>
        <w:rPr>
          <w:rFonts w:hint="eastAsia" w:ascii="仿宋_GB2312" w:hAnsi="Times New Roman" w:eastAsia="仿宋_GB2312" w:cs="仿宋_GB2312"/>
          <w:color w:val="000000"/>
          <w:kern w:val="2"/>
          <w:sz w:val="32"/>
          <w:szCs w:val="32"/>
          <w:lang w:val="en-US" w:eastAsia="zh-CN" w:bidi="ar"/>
        </w:rPr>
        <w:t xml:space="preserve"> 地质环境管理应当坚持积极保护与合理开发利用的原则。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Times New Roman" w:eastAsia="仿宋_GB2312" w:cs="仿宋_GB2312"/>
          <w:color w:val="000000"/>
          <w:kern w:val="2"/>
          <w:sz w:val="32"/>
          <w:szCs w:val="32"/>
          <w:lang w:val="en-US" w:eastAsia="zh-CN" w:bidi="ar"/>
        </w:rPr>
        <w:t xml:space="preserve"> 县级以上人民政府应当加强对本行政区域内地质环境管理工作的领导，组织制定地质环境保护规划，并将其纳入本级人民政府国民经济和社会发展规划。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县级以上人民政府国土资源行政主管部门负责本行政区域内地质环境的监督管理工作。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县级以上人民政府有关部门按照各自职责，做好地质环境管理工作。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县级以上人民政府国土资源行政主管部门应当加强对地质环境保护的宣传和科普教育。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任何单位和个人都有保护地质环境的义务，对破坏地质环境的行为有权检举和控告。</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地质环境影响评价和监测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有下列情形之一的，应当由具有相应资质的机构进行地质环境影响评价，列入环境影响评价报告书：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（一）制定国土整治规划、城市（镇）规划、区域经济开发规划；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（二）开发矿产资源；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（三）在城镇规划区、工矿区集中开采地热、地下水资源；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（四）新建城镇、城镇新区和各类开发区选址；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（五）铁路、机场、公路、水库和干渠、发电站（场）等大型建设项目及配套设施。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地质环境影响评价包括：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（一）对地质环境特征、主要地质环境问题及其对居民生存影响的评价；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（二）对地质环境质量的评价和地质环境问题防治对策。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pacing w:val="-3"/>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县级以上人民政府国土资源行政主管部门应当根据本行政区域地质环境状况，</w:t>
      </w:r>
      <w:r>
        <w:rPr>
          <w:rFonts w:hint="eastAsia" w:ascii="仿宋_GB2312" w:hAnsi="Times New Roman" w:eastAsia="仿宋_GB2312" w:cs="仿宋_GB2312"/>
          <w:color w:val="000000"/>
          <w:spacing w:val="-3"/>
          <w:kern w:val="2"/>
          <w:sz w:val="32"/>
          <w:szCs w:val="32"/>
          <w:lang w:val="en-US" w:eastAsia="zh-CN" w:bidi="ar"/>
        </w:rPr>
        <w:t>设置和完善监测设施，对本行政区域内地质环境进行动态监测及资料分析、保存和利用；对发现有可能引发地质灾害、危及公共财产和公民生命财产安全的重大地质环境问题，应当及时向同级人民政府和上级业务主管部门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省人民政府国土资源行政主管部门应当根据地质环境监测资料，定期发布本省地质环境状况公报。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任何单位和个人不得侵占、损毁、擅自移动地质环境监测设施和标</w:t>
      </w:r>
      <w:bookmarkStart w:id="0" w:name="_GoBack"/>
      <w:bookmarkEnd w:id="0"/>
      <w:r>
        <w:rPr>
          <w:rFonts w:hint="eastAsia" w:ascii="仿宋_GB2312" w:hAnsi="Times New Roman" w:eastAsia="仿宋_GB2312" w:cs="仿宋_GB2312"/>
          <w:color w:val="000000"/>
          <w:kern w:val="2"/>
          <w:sz w:val="32"/>
          <w:szCs w:val="32"/>
          <w:lang w:val="en-US" w:eastAsia="zh-CN" w:bidi="ar"/>
        </w:rPr>
        <w:t>志。</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地质灾害防治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第十二条 </w:t>
      </w:r>
      <w:r>
        <w:rPr>
          <w:rFonts w:hint="eastAsia" w:ascii="仿宋_GB2312" w:hAnsi="Times New Roman" w:eastAsia="仿宋_GB2312" w:cs="仿宋_GB2312"/>
          <w:color w:val="000000"/>
          <w:kern w:val="2"/>
          <w:sz w:val="32"/>
          <w:szCs w:val="32"/>
          <w:lang w:val="en-US" w:eastAsia="zh-CN" w:bidi="ar"/>
        </w:rPr>
        <w:t xml:space="preserve"> 县级以上人民政府应当建立地质灾害防治专项资金，用于对因自然因素造成的地质灾害调查、监测和防治。地质灾害调查、监测和防治所需资金按照地质灾害等级和地质灾害隐患等级由县级以上人民政府分级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地质灾害隐患等级划分以及防治专项资金分级承担的具体办法由省人民政府制定。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因工程建设等人为活动造成地质环境破坏或者引发地质灾害的，应当采取措施恢复或者治理，其治理费用，按照谁破坏、谁引发、谁治理的原则，由责任者承担。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Times New Roman" w:eastAsia="仿宋_GB2312" w:cs="仿宋_GB2312"/>
          <w:color w:val="000000"/>
          <w:kern w:val="2"/>
          <w:sz w:val="32"/>
          <w:szCs w:val="32"/>
          <w:lang w:val="en-US" w:eastAsia="zh-CN" w:bidi="ar"/>
        </w:rPr>
        <w:t xml:space="preserve"> 在地质灾害危险区内禁止爆破、削坡、进行工程建设以及从事其他可能引发地质灾害的活动。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开发矿产资源或者在地质灾害易发区内进行工程建设，应当在可行性研究阶段由具有地质灾害危险性评估资质的单位进行地质灾害危险性评估</w:t>
      </w:r>
      <w:r>
        <w:rPr>
          <w:rFonts w:hint="eastAsia" w:ascii="黑体" w:hAnsi="宋体" w:eastAsia="黑体" w:cs="黑体"/>
          <w:color w:val="000000"/>
          <w:kern w:val="2"/>
          <w:sz w:val="32"/>
          <w:szCs w:val="32"/>
          <w:lang w:val="en-US" w:eastAsia="zh-CN" w:bidi="ar"/>
        </w:rPr>
        <w:t>。</w:t>
      </w:r>
      <w:r>
        <w:rPr>
          <w:rFonts w:hint="eastAsia" w:ascii="仿宋_GB2312" w:hAnsi="Times New Roman" w:eastAsia="仿宋_GB2312" w:cs="仿宋_GB2312"/>
          <w:color w:val="000000"/>
          <w:kern w:val="2"/>
          <w:sz w:val="32"/>
          <w:szCs w:val="32"/>
          <w:lang w:val="en-US" w:eastAsia="zh-CN" w:bidi="ar"/>
        </w:rPr>
        <w:t>评估单位对评估结果负责。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对经评估不适用于开发建设的，应当另行选址。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对经评估认为可能引发地质灾害或者可能遭受地质灾害的建设工程，应当配套建设地质灾害治理工程，配套建设的地质灾害治理工程未验收或者验收不合格的，主体工程不得投入使用。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地质灾害治理工程应当按照国家规定的勘查、设计、施工和监理程序进行。出现重大紧急地质灾害险情的，可以由具有相应资质的单位进行应急治理工程施工，但在险情得到有效控制后，还应当按照国家规定的程序进行地质灾害治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政府批准立项的地质灾害治理工程，应当按照有关规定实行招标投标，但应急治理工程除外。</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矿山地质环境保护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第十七条 </w:t>
      </w:r>
      <w:r>
        <w:rPr>
          <w:rFonts w:hint="eastAsia" w:ascii="仿宋_GB2312" w:hAnsi="Times New Roman" w:eastAsia="仿宋_GB2312" w:cs="仿宋_GB2312"/>
          <w:color w:val="000000"/>
          <w:kern w:val="2"/>
          <w:sz w:val="32"/>
          <w:szCs w:val="32"/>
          <w:lang w:val="en-US" w:eastAsia="zh-CN" w:bidi="ar"/>
        </w:rPr>
        <w:t xml:space="preserve"> 县级以上人民政府国土资源行政主管部门应当会同环保、林业、农业、水利等部门编制矿山生态环境保护与治理恢复规划，报同级人民政府批准后实施。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依法进行矿产资源开采时，采矿权人应当委托具有相应资质的单位制定矿山地质环境保护与治理方案，并报县级以上人民政府国土资源行政主管部门备案。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矿山地质环境保护与治理方案应当包括下列内容：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（一）矿山基本情况、地质环境现状；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（二）矿山地质环境问题分析、影响程度评估；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（三）矿山地质环境保护与治理措施。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第十九条 </w:t>
      </w:r>
      <w:r>
        <w:rPr>
          <w:rFonts w:hint="eastAsia" w:ascii="仿宋_GB2312" w:hAnsi="Times New Roman" w:eastAsia="仿宋_GB2312" w:cs="仿宋_GB2312"/>
          <w:color w:val="000000"/>
          <w:kern w:val="2"/>
          <w:sz w:val="32"/>
          <w:szCs w:val="32"/>
          <w:lang w:val="en-US" w:eastAsia="zh-CN" w:bidi="ar"/>
        </w:rPr>
        <w:t xml:space="preserve"> 采矿权人在采矿过程中、停办或者关闭矿山前，应当根据矿山地质环境保护与治理方案，履行下列矿山地质环境治理和恢复义务：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（一）整修被损坏的道路、建筑、地面设施，使之达到安全、可利用状态；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（二）整治被破坏的土地，使之达到种植、养殖或者其他可供利用的状态；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（三）整修露天采矿场的边坡、断面并恢复植被，消除安全隐患，使之与周围环境相协调；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（四）采取有效技术措施，使地下井巷、采空区达到安全状态；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（五）按规定处理矿山开采废弃物；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（六）采取措施解决因采矿导致的地下水水位下降所造成的群众饮水困难；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（七）法律、法规规定的矿山地质环境保护的其他义务。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矿山地质环境治理和恢复实行保证金制度。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矿山地质环境治理恢复保证金按照不低于治理恢复费用的要求，根据矿区面积、开采方式以及对矿山地质环境影响程度等因素确定。按照矿山地质环境保护与治理方案，矿山地质环境分阶段治理的，保证金可以分期交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矿山地质环境治理恢复保证金实行财政专户管理，不得挪作他用。矿山所在地的县级以上人民政府国土资源行政主管部门应当对采矿权人履行治理和恢复义务的情况进行监督检查，并会同同级环保、林业等部门对矿山地质环境的恢复工作进行验收；经验收合格的，保证金及其利息应当及时退还采矿权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矿山地质环境治理恢复保证金提取、使用的管理办法由省人民政府制定。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Times New Roman" w:eastAsia="仿宋_GB2312" w:cs="仿宋_GB2312"/>
          <w:color w:val="000000"/>
          <w:kern w:val="2"/>
          <w:sz w:val="32"/>
          <w:szCs w:val="32"/>
          <w:lang w:val="en-US" w:eastAsia="zh-CN" w:bidi="ar"/>
        </w:rPr>
        <w:t xml:space="preserve"> 采矿权人应当如实对矿山地质环境状况定期记录，形成年度报告，并于每年年底前报送有管理权的县级以上人民政府国土资源行政主管部门备案。矿山地质环境状况报告应当包含下列内容：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（一）年度井上、井下工程对照图；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（二）开采方式；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（三）尾矿、固体废弃物、废水的年产出量和年排放量、年综合利用量、累计积存量；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（四）占用、破坏土地面积及累计治理恢复土地面积；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（五）矿山地质灾害发生及治理情况；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（六）地下水水位情况。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当地人民政府应当采取措施，对历史遗留的已被破坏的矿山地质环境，按照谁投资谁受益的原则，鼓励单位和个人投资治理。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地质遗迹保护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本条例所保护的地质遗迹，是指古生物化石、岩石矿物、宝玉石及其产地，典型地质剖面、地质构造、地质灾害遗迹、冰川遗迹、温泉、瀑布、丹霞以及岩溶洞穴、峡谷、峰林峰丛等珍贵的、不可再生的地质自然遗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本条例所保护的古生物化石，是指地质时期形成并赋存于地层中的动物、植物等遗体化石或者遗迹化石。与人类活动有关的第四纪古脊椎动物化石和古人类化石除外。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省人民政府国土资源行政主管部门应当会同文化、旅游、建设、林业、环保、农业等部门编制地质遗迹保护规划，报省人民政府批准后实施。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具有科研、观赏价值的地质遗迹可以按照国家和省的有关规定建立地质遗迹保护区或者地质公园。省级地质公园由地质遗迹所在地的县级以上人民政府组织申报，由省人民政府批准。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确定地质遗迹保护区、地质公园的范围，应当兼顾所需保护地质遗迹的完整性和适度性，以及当地经济建设和居民生产、生活的需要。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地质遗迹保护区、地质公园管理机构应当有专业技术人员负责地质遗迹保护工作。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Times New Roman" w:eastAsia="仿宋_GB2312" w:cs="仿宋_GB2312"/>
          <w:color w:val="000000"/>
          <w:kern w:val="2"/>
          <w:sz w:val="32"/>
          <w:szCs w:val="32"/>
          <w:lang w:val="en-US" w:eastAsia="zh-CN" w:bidi="ar"/>
        </w:rPr>
        <w:t xml:space="preserve"> 分布在风景名胜区或者其他类型保护区内的地质遗迹，由原管理机构负责管理，并接受同级人民政府国土资源行政主管部门的监督、检查和业务指导。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禁止在地质遗迹保护区、地质公园内进行损害地质遗迹的采矿、采石、采砂、取土、取水、爆破等活动。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工程建设应当避开地质遗迹保护区和地质公园。确实无法避开的，应当由省人民政府国土资源行政主管部门组织专家进行评估，根据评估结果确定保护措施。工程建设单位应当按照确定的保护措施进行建设。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县级以上人民政府国土资源行政主管部门负责本行政区域内古生物化石的保护和监督管理。公安、工商、文化、环保、海关等部门，应当按照各自职责，做好古生物化石的保护和管理。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任何单位或者个人不得擅自采掘古生物化石。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科研机构、高等院校因科研、教学和科普需要采掘古生物化石的，应当向采掘地县级人民政府国土资源行政主管部门提交古生物化石采掘方案，经省人民政府国土资源行政主管部门组织专家对方案进行评审后作出决定。省人民政府国土资源行政主管部门应当自采掘地县级人民政府国土资源行政主管部门收到方案之日起20日内作出决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古生物化石采掘方案应当包括采掘者的基本情况、采掘目的、时间、地点、范围、种类、数量、采掘方式、保存方式、环境恢复措施等。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采掘者必须按照专家评审通过的方案进行采掘。采掘地的县级人民政府国土资源行政主管部门应当对采掘活动进行监督。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采掘者在采掘活动结束后30日内，应当将采掘获得的古生物化石完整档案，如实报当地县级人民政府国土资源行政主管部门备案。经确认属重要古生物化石的，应当交由省人民政府国土资源行政主管部门指定的机构保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鼓励具备条件的单位或者个人依法申请建立古生物化石博物馆。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古生物化石博物馆及其他古生物化石收藏单位，应当建立馆藏古生物化石档案及安全制度，并报县级以上人民政府国土资源行政主管部门备案。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下列重要古生物化石不得擅自买卖：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（一）正式命名的古生物种属的模式标本；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（二）国内稀有或者在生物演化及分类中具有特殊意义的古生物化石；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（三）保存完整或者较完整的古脊椎动物尸体化石；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（四）大型的或者集中分布的高等植物化石、无脊椎动物化石和古脊椎动物足迹等遗迹化石；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（五）国家规定的其他重点保护古生物化石。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第三十三条 </w:t>
      </w:r>
      <w:r>
        <w:rPr>
          <w:rFonts w:hint="eastAsia" w:ascii="仿宋_GB2312" w:hAnsi="Times New Roman" w:eastAsia="仿宋_GB2312" w:cs="仿宋_GB2312"/>
          <w:color w:val="000000"/>
          <w:kern w:val="2"/>
          <w:sz w:val="32"/>
          <w:szCs w:val="32"/>
          <w:lang w:val="en-US" w:eastAsia="zh-CN" w:bidi="ar"/>
        </w:rPr>
        <w:t xml:space="preserve"> 古生物化石科研机构利用本省古生物化石进行科学研究的，除法律、法规另有规定外，应当在科研项目完成后30日内向省人民政府国土资源行政主管部门提交科研报告副本；与外国组织、个人合作，利用本省古生物化石进行科学研究的，应当签订项目合作协议，合作研究中采集的古生物化石归中方依法保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第三十四条 </w:t>
      </w:r>
      <w:r>
        <w:rPr>
          <w:rFonts w:hint="eastAsia" w:ascii="仿宋_GB2312" w:hAnsi="Times New Roman" w:eastAsia="仿宋_GB2312" w:cs="仿宋_GB2312"/>
          <w:color w:val="000000"/>
          <w:kern w:val="2"/>
          <w:sz w:val="32"/>
          <w:szCs w:val="32"/>
          <w:lang w:val="en-US" w:eastAsia="zh-CN" w:bidi="ar"/>
        </w:rPr>
        <w:t xml:space="preserve"> 因科研、教学、科普、展览等需要将重要古生物化石运送出省的，应当报省人民政府国土资源行政主管部门备案。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需运送出境的，按国家规定办理审批手续。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Times New Roman" w:eastAsia="仿宋_GB2312" w:cs="仿宋_GB2312"/>
          <w:color w:val="000000"/>
          <w:kern w:val="2"/>
          <w:sz w:val="32"/>
          <w:szCs w:val="32"/>
          <w:lang w:val="en-US" w:eastAsia="zh-CN" w:bidi="ar"/>
        </w:rPr>
        <w:t xml:space="preserve"> 单位或者个人在生产、建设等活动中发现疑似古生物化石的，应当保护现场，并及时报告当地县级人民政府国土资源行政主管部门。县级人民政府国土资源行政主管部门应当在接到报告之日起3日内，会同文化行政主管部门组织专家勘验，提出处理意见；对确属重要古生物化石的，应当采取保护措施，并将处理意见上报省人民政府国土资源行政主管部门和文化行政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第三十六条 </w:t>
      </w:r>
      <w:r>
        <w:rPr>
          <w:rFonts w:hint="eastAsia" w:ascii="仿宋_GB2312" w:hAnsi="Times New Roman" w:eastAsia="仿宋_GB2312" w:cs="仿宋_GB2312"/>
          <w:color w:val="000000"/>
          <w:kern w:val="2"/>
          <w:sz w:val="32"/>
          <w:szCs w:val="32"/>
          <w:lang w:val="en-US" w:eastAsia="zh-CN" w:bidi="ar"/>
        </w:rPr>
        <w:t xml:space="preserve"> 工商、海关等部门依法没收的古生物化石，应当造册登记，妥善保管，在结案后15日内无偿移交县级以上人民政府国土资源行政主管部门，县级以上人民政府国土资源行政主管部门应当移交给符合规定条件的国有收藏单位收藏。</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Times New Roman" w:eastAsia="仿宋_GB2312" w:cs="仿宋_GB2312"/>
          <w:color w:val="000000"/>
          <w:kern w:val="2"/>
          <w:sz w:val="32"/>
          <w:szCs w:val="32"/>
          <w:lang w:val="en-US" w:eastAsia="zh-CN" w:bidi="ar"/>
        </w:rPr>
        <w:t xml:space="preserve">  违反本条例第十一条规定，尚不构成犯罪的，由县级以上人民政府国土资源行政主管部门给予警告，责令限期改正；逾期不改正的，处以1000元以上1万元以下罚款。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仿宋_GB2312" w:hAnsi="Times New Roman" w:eastAsia="仿宋_GB2312" w:cs="仿宋_GB2312"/>
          <w:color w:val="000000"/>
          <w:kern w:val="2"/>
          <w:sz w:val="32"/>
          <w:szCs w:val="32"/>
          <w:lang w:val="en-US" w:eastAsia="zh-CN" w:bidi="ar"/>
        </w:rPr>
        <w:t xml:space="preserve">  违反本条例规定，在地质灾害危险区内爆破、削坡、进行工程建设以及从事其他可能引发地质灾害活动的，由县级以上地方人民政府国土资源主管部门责令停止违法行为，对单位处以5万元以上20万元以下的罚款，对个人处以1万元以上5万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仿宋_GB2312" w:hAnsi="Times New Roman" w:eastAsia="仿宋_GB2312" w:cs="仿宋_GB2312"/>
          <w:color w:val="000000"/>
          <w:kern w:val="2"/>
          <w:sz w:val="32"/>
          <w:szCs w:val="32"/>
          <w:lang w:val="en-US" w:eastAsia="zh-CN" w:bidi="ar"/>
        </w:rPr>
        <w:t xml:space="preserve">  违反本条例规定，有下列行为之一，尚不构成犯罪的，由县级以上人民政府国土资源行政主管部门责令建设单位限期改正；逾期不改正的，责令停止生产、施工或者使用，并处以10万元以上50万元以下罚款：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（一）开发矿产资源或者在地质灾害易发区内进行工程建设，未在可行性研究阶段由具有地质灾害危险性评估资质的单位进行地质灾害危险性评估的；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（二）对经评估不适用于开发建设，未另行选址的；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（三）配套建设的地质灾害治理工程未验收或者验收不合格，主体工程即投入使用的。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Times New Roman" w:eastAsia="仿宋_GB2312" w:cs="仿宋_GB2312"/>
          <w:color w:val="000000"/>
          <w:kern w:val="2"/>
          <w:sz w:val="32"/>
          <w:szCs w:val="32"/>
          <w:lang w:val="en-US" w:eastAsia="zh-CN" w:bidi="ar"/>
        </w:rPr>
        <w:t xml:space="preserve">  违反本条例规定，有下列行为之一的，由县级以上人民政府国土资源行政主管部门按照下列规定予以处罚：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违反本条例第十九条规定，不履行矿山地质环境治理和恢复义务，尚不构成犯罪的，责令限期改正；逾期不改正或者治理不符合要求的，启用该采矿权人缴存的保证金组织治理，可并处以3000元以上5万元以下罚款；情节严重的，依法吊销采矿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（二）违反本条例第二十一条、第三十条第四款、第三十一条第二款、第三十四条第一款规定，未报送备案的，责令限期改正；逾期不改正的，处以1000元以上5000元以下罚款。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第四十一条 </w:t>
      </w:r>
      <w:r>
        <w:rPr>
          <w:rFonts w:hint="eastAsia" w:ascii="仿宋_GB2312" w:hAnsi="Times New Roman" w:eastAsia="仿宋_GB2312" w:cs="仿宋_GB2312"/>
          <w:color w:val="000000"/>
          <w:kern w:val="2"/>
          <w:sz w:val="32"/>
          <w:szCs w:val="32"/>
          <w:lang w:val="en-US" w:eastAsia="zh-CN" w:bidi="ar"/>
        </w:rPr>
        <w:t xml:space="preserve"> 违反本条例地质遗迹保护规定，尚不构成犯罪的，由县级以上人民政府国土资源行政主管部门按照下列规定处罚：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（一）违反本条例第二十七条第一款规定的，责令停止违法行为；造成地质遗迹损坏的，处以5000元以上5万元以下罚款；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违反本条例第二十九条、第三十条规定，擅自采掘古生物化石，或者不按照专家评审通过的方案进行采掘的，责令停止采掘，限期改正，没收采掘的古生物化石，并处以20万元以上50万元以下的罚款。未按照专家评审通过的方案进行采掘，情节严重的，撤销采掘决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（三）违反本条例第三十三条规定，不提交科研副本的，责令限期改正；逾期不改正的，处以1000元以上1万元以下罚款。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4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第四十二条 </w:t>
      </w:r>
      <w:r>
        <w:rPr>
          <w:rFonts w:hint="eastAsia" w:ascii="仿宋_GB2312" w:hAnsi="Times New Roman" w:eastAsia="仿宋_GB2312" w:cs="仿宋_GB2312"/>
          <w:color w:val="000000"/>
          <w:kern w:val="2"/>
          <w:sz w:val="32"/>
          <w:szCs w:val="32"/>
          <w:lang w:val="en-US" w:eastAsia="zh-CN" w:bidi="ar"/>
        </w:rPr>
        <w:t xml:space="preserve"> 违反本条例第三十二条规定，擅自买卖重要古生物化石的，由工商行政主管部门责令限期改正，没收违法所得，并处以5万元以上20万元以下罚款。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第四十三条 </w:t>
      </w:r>
      <w:r>
        <w:rPr>
          <w:rFonts w:hint="eastAsia" w:ascii="仿宋_GB2312" w:hAnsi="Times New Roman" w:eastAsia="仿宋_GB2312" w:cs="仿宋_GB2312"/>
          <w:color w:val="000000"/>
          <w:kern w:val="2"/>
          <w:sz w:val="32"/>
          <w:szCs w:val="32"/>
          <w:lang w:val="en-US" w:eastAsia="zh-CN" w:bidi="ar"/>
        </w:rPr>
        <w:t xml:space="preserve"> 违反本条例规定，有下列行为之一的，由县级以上人民政府国土资源行政主管部门或者其他部门依据职责责令停止违法行为，对地质灾害危险性评估单位、地质灾害治理工程勘查、设计或者监理单位处以合同约定的评估费、勘查费、设计费或者监理酬金1倍以上2倍以下的罚款，对地质灾害治理工程施工单位处以工程价款2％以上4％以下的罚款，并可以责令停业整顿，降低资质等级；有违法所得的，没收违法所得；情节严重的，吊销其资质证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（一）在地质灾害危险性评估中弄虚作假或者故意隐瞒地质灾害真实情况的；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（二）在地质灾害治理工程勘查、设计、施工以及监理活动中弄虚作假、降低工程质量的；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（三）无资质证书或者超越其资质等级许可的范围承揽地质灾害危险性评估、地质灾害治理工程勘查、设计、施工及监理业务的；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（四）以其他单位的名义或者允许其他单位以本单位的名义承揽地质灾害危险性评估、地质灾害治理工程勘查、设计、施工和监理业务的。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仿宋_GB2312" w:hAnsi="Times New Roman" w:eastAsia="仿宋_GB2312" w:cs="仿宋_GB2312"/>
          <w:color w:val="000000"/>
          <w:kern w:val="2"/>
          <w:sz w:val="32"/>
          <w:szCs w:val="32"/>
          <w:lang w:val="en-US" w:eastAsia="zh-CN" w:bidi="ar"/>
        </w:rPr>
        <w:t xml:space="preserve">  国土资源行政主管部门、有关部门及其工作人员，在地质环境保护监督管理工作中，违反本条例规定，有下列情形之一，尚不构成犯罪的，对直接负责的主管人员和其他直接责任人员依法给予行政处分：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（一）不履行地质环境保护监督管理职责，发现破坏地质环境的违法行为不予查处，或者不依法组织专家进行评估或者评审的；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（二）侵占、挪用地质灾害防治专项资金或者矿山地质环境治理恢复保证金的；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（三）不按规定公布地质环境状况公报的；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仿宋_GB2312" w:hAnsi="Times New Roman" w:eastAsia="仿宋_GB2312" w:cs="仿宋_GB2312"/>
          <w:color w:val="000000"/>
          <w:kern w:val="2"/>
          <w:sz w:val="32"/>
          <w:szCs w:val="32"/>
          <w:lang w:val="en-US" w:eastAsia="zh-CN" w:bidi="ar"/>
        </w:rPr>
        <w:t>（四）有其他玩忽职守、滥用职权、徇私舞弊行为的。</w:t>
      </w:r>
    </w:p>
    <w:sectPr>
      <w:headerReference r:id="rId3" w:type="default"/>
      <w:footerReference r:id="rId4" w:type="default"/>
      <w:pgSz w:w="11906" w:h="16838"/>
      <w:pgMar w:top="2041" w:right="1531" w:bottom="1588" w:left="1531" w:header="851" w:footer="1531" w:gutter="0"/>
      <w:cols w:space="720" w:num="1"/>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auto"/>
    <w:pitch w:val="fixed"/>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C15775C"/>
    <w:rsid w:val="307664D7"/>
    <w:rsid w:val="32D90610"/>
    <w:rsid w:val="47F62168"/>
    <w:rsid w:val="67E31064"/>
    <w:rsid w:val="68E01EF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qFormat/>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qFormat/>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uiPriority w:val="99"/>
    <w:rPr>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2019-03-21T07:43:49Z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