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00" w:lineRule="exact"/>
        <w:ind w:left="0" w:right="0"/>
        <w:jc w:val="center"/>
        <w:rPr>
          <w:rFonts w:hint="eastAsia" w:ascii="方正小标宋_GBK" w:hAnsi="方正小标宋_GBK" w:eastAsia="方正小标宋_GBK" w:cs="方正小标宋_GBK"/>
          <w:color w:val="000000"/>
          <w:sz w:val="44"/>
          <w:szCs w:val="44"/>
          <w:lang w:val="en-US"/>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贵州省民用建筑节能条例</w:t>
      </w: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仿宋_GB2312" w:eastAsia="仿宋_GB2312" w:cs="仿宋_GB2312"/>
          <w:color w:val="000000"/>
          <w:sz w:val="32"/>
          <w:szCs w:val="32"/>
          <w:lang w:val="en-US"/>
        </w:rPr>
      </w:pPr>
      <w:bookmarkStart w:id="0" w:name="_GoBack"/>
      <w:r>
        <w:rPr>
          <w:rFonts w:hint="eastAsia" w:ascii="楷体_GB2312" w:hAnsi="Times New Roman" w:eastAsia="楷体_GB2312" w:cs="楷体_GB2312"/>
          <w:color w:val="000000"/>
          <w:kern w:val="2"/>
          <w:sz w:val="32"/>
          <w:szCs w:val="32"/>
          <w:lang w:val="en-US" w:eastAsia="zh-CN" w:bidi="ar"/>
        </w:rPr>
        <w:t xml:space="preserve">（2015年7月31日贵州省第十二届人民代表大会常务委员会第十六次会议通过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第七次会议通过的《贵州省人民代表大会常务委员会关于修改〈贵州省大气污染防治条例〉等地方性法规个别条款的决定》修正）</w:t>
      </w:r>
    </w:p>
    <w:bookmarkEnd w:id="0"/>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为加强民用建筑节能管理，倡导和促进绿色建筑发展，提升生态文明建设水平，根据《中华人民共和国节约能源法》、《中华人民共和国可再生能源法》、《民用建筑节能条例》等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本省行政区域内的民用建筑节能及其相关监督管理活动，应当遵守本条例。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民用建筑节能应当遵循因地制宜、统筹规划、科学合理、经济适用、安全可靠的原则。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县级以上人民政府应当加强对民用建筑节能工作的领导，健全民用建筑节能体制机制，将民用建筑节能工作纳入国民经济和社会发展规划。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县级以上人民政府住房和城乡建设行政主管部门负责本行政区域内民用建筑节能监督管理工作；县级以上人民政府其他部门按照职责分工，做好民用建筑节能相关工作。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省人民政府住房和城乡建设行政主管部门、发展和改革部门应当制定民用建筑节能技术、工艺、材料、设备的推广使用、限制使用、禁止使用目录，并向社会公布。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鼓励民用建筑节能科学技术研究和开发，推广民用建筑节能新技术、新工艺、新材料、新设备，推动可再生能源在建筑中的应用；鼓励农村个人建房采取节能措施。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鼓励发展建设工程的预制和装配技术，提高建筑工业化技术集成水平，支持集研发、设计、生产、施工于一体的建筑工业化基地建设，推动建筑工业化。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各级人民政府应当加强民用建筑节能宣传教育，普及民用建筑节能知识，增强全民节能意识。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新建建筑节能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县级以上人民政府应当根据当地经济社会发展水平和地理气候条件等实际情况，统筹考虑以清洁能源利用、余热利用为主的冬季低能耗采暖方式，并在新区建设、大型住宅区等建设项目集中推广。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对具备可再生能源利用条件的建筑项目，建设单位应当选择合适的可再生能源，用于建筑采暖、制冷、照明和热水供应等，可再生能源利用设施应当与建筑主体工程同步设计、同步施工、同步验收。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建设单位应当执行民用建筑节能强制性标准，在设计和施工合同中明确建筑节能技术要求，向施工单位和监理单位提供经审查合格的施工图设计文件，在施工现场公示采用的节能技术、措施等信息，按照建筑节能工程质量标准组织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设计单位编制的建设工程设计方案应当包括民用建筑节能设计专项说明，初步设计文件应当包括民用建筑节能设计专篇，施工图设计文件应当包括民用建筑节能设计说明和节能计算。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施工图设计文件审查机构应当按照民用建筑节能强制性标准对施工图设计文件进行审查。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施工单位应当依据标准规范和经审查合格的施工图设计文件进行施工，制定建筑节能工程专项施工方案，并经建设单位项目负责人和监理单位项目总监签字后实施。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施工单位应当按照设计要求、施工技术标准和合同约定对进入施工现场的建筑节能材料、产品、设备进行进场验收，进场验收资料纳入工程技术档案。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鼓励施工单位按照绿色施工标准进行施工，采取有效措施降低施工能耗。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监理单位应当依据标准规范和经审查合格的施工图设计文件实施监理。未经进场复验或者复验不合格的建筑节能材料和设备，监理工程师不得签署同意使用意见。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建设工程质量监督机构应当在工程质量监督工作方案中编写民用建筑节能工程监督内容，依法监督检查、抽查建筑节能工程质量；工程质量监督报告中应当包含民用建筑节能专章。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从事建筑节能材料检测、工程检测、能效测评的机构，应当严格按照标准规范进行检测、测评，不得出具虚假报告。</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既有建筑节能改造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县级以上人民政府住房和城乡建设行政主管部门应当按照国家要求和本省建筑节能专项规划，制定既有建筑节能改造计划，报同级人民政府批准后实施。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公共机构既有建筑节能改造，由县级以上人民政府管理机关事务工作的机构会同有关部门制定计划，并组织实施。公共机构既有建筑节能改造计划应当与同级人民政府批准的既有建筑节能改造计划相衔接。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既有建筑进行围护结构装修和用能系统更新时，应当同步实施建筑节能改造。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国家机关既有办公建筑的节能改造费用，纳入县级以上人民政府本级财政预算。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居住建筑和教育、科学、文化、卫生、体育等公益事业使用的公共建筑节能改造费用，由政府、建筑所有权人共同负担。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商业性既有公共建筑节能改造费用，由建筑所有权人和使用权人协议负担。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实施既有建筑节能改造，应当按照法律法规规定的建设程序进行。改造前应当制定节能改造方案并经充分论证，实施阶段应当按照标准规范和经审查合格的施工图设计文件组织施工，改造完成后应当按照建筑节能工程质量验收标准进行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国家机关办公建筑和大型公共建筑节能改造工程完工后，应当经能效测评机构进行能效测评；测评达不到要求的，应当进行整改并达到要求。</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建筑节能运行管理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民用建筑所有权人、使用权人或者其委托的物业服务企业应当对建筑保温隔热系统、用能系统、可再生能源利用系统进行日常维护。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公共机构应当按照规定进行能源审计，对本单位用能系统、设备的运行及使用能源情况进行技术和经济性评价，根据审计结果采取提高能源利用效率的措施。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仿宋_GB2312" w:hAnsi="Times New Roman" w:eastAsia="仿宋_GB2312" w:cs="仿宋_GB2312"/>
          <w:color w:val="000000"/>
          <w:kern w:val="2"/>
          <w:sz w:val="32"/>
          <w:szCs w:val="32"/>
          <w:lang w:val="en-US" w:eastAsia="zh-CN" w:bidi="ar"/>
        </w:rPr>
        <w:t xml:space="preserve">  国家机关办公建筑和大型公共建筑的所有权人或者使用权人应当对建筑分项用电量进行动态监测，并将分项用电量以联网实时传输方式报县级以上人民政府住房和城乡建设行政主管部门。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新建国家机关办公建筑和大型公共建筑应当安装分户、分类、分项用电计量装置，并与建设项目同步设计、同步施工、同步验收。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国家机关既有办公建筑和大型公共建筑应当按照省建筑节能专项规划，逐步安装分户、分类、分项用电计量装置。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已安装分户、分类、分项用电计量装置的建筑所有权人和使用权人，应当定期对计量装置进行维护、维修、检定，确保正常运行。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使用空调采暖、制冷的公共建筑，其室内空调温度设置应当执行国家室内温度控制标准。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绿色建筑发展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绿色建筑发展应当遵循全面推进、突出重点，因地制宜、分类指导，政府引导、市场推动，立足当前、着眼长远的原则。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县级以上人民政府住房和城乡建设行政主管部门应当会同有关部门，根据本级或者上级人民政府生态文明建设规划，制定绿色建筑和绿色生态城区发展规划或者行动方案，报同级人民政府批准后实施。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鼓励建设项目按照绿色建筑标准建设。政府投资的国家机关、学校、医院、博物馆、科技馆、体育馆等建筑和保障性住房、城市综合体、大型公共建筑，应当执行绿色建筑标准。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鼓励城市新区建设、小城镇建设、大型住宅区建设、棚户区改造项目按照绿色生态城区要求进行规划和建设。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绿色建筑应当充分结合地形地貌进行场地设计与建筑布局，保护现有自然水域、林地、湿地等自然生态。裸露边坡等对自然生态造成损害的，应当进行生态修复。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绿色建筑项目设计、施工合同中应当明确绿色建筑等级、指标；依法实行招标的项目，应当在招标文件中明确绿色建筑要求。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绿色建筑项目的设计单位在方案设计阶段应当编制绿色建筑设计专项方案，专项方案应当包括建设目标、初步技术方案和效益分析等内容；在施工图设计阶段应当编制绿色建筑设计说明书，提供相关模拟报告。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施工图设计文件审查机构应当对绿色建筑项目是否符合绿色建筑标准进行审查。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施工图设计文件经审查合格的，绿色建筑项目的建设单位可以按照国家规定申请绿色建筑设计评价标识。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绿色建筑项目的建设单位应当在施工现场公示绿色建筑等级和节能、节水等性能指标。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仿宋_GB2312" w:hAnsi="Times New Roman" w:eastAsia="仿宋_GB2312" w:cs="仿宋_GB2312"/>
          <w:color w:val="000000"/>
          <w:kern w:val="2"/>
          <w:sz w:val="32"/>
          <w:szCs w:val="32"/>
          <w:lang w:val="en-US" w:eastAsia="zh-CN" w:bidi="ar"/>
        </w:rPr>
        <w:t xml:space="preserve">  建设单位组织绿色建筑项目竣工验收时，对达不到绿色建筑标准的，不得出具绿色建筑项目竣工验收合格报告。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绿色建筑项目竣工验收一年后，可以按照国家规定申请绿色建筑标识。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取得绿色建筑标识的公共建筑所有权人、使用权人或者其委托的物业服务企业应当对建筑能源、资源消耗情况进行监测、评价。</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激励措施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县级以上人民政府应当安排民用建筑节能资金，用于支持民用建筑节能的科学技术研究和标准制定、既有建筑围护结构改造、可再生能源利用以及民用建筑节能示范工程、节能项目推广。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仿宋_GB2312" w:hAnsi="Times New Roman" w:eastAsia="仿宋_GB2312" w:cs="仿宋_GB2312"/>
          <w:color w:val="000000"/>
          <w:kern w:val="2"/>
          <w:sz w:val="32"/>
          <w:szCs w:val="32"/>
          <w:lang w:val="en-US" w:eastAsia="zh-CN" w:bidi="ar"/>
        </w:rPr>
        <w:t xml:space="preserve">  企业开发民用建筑节能与绿色建筑新技术、新产品、新工艺发生的研究开发费用，可以依法在计算应纳税所得额时加计扣除。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企业购置并使用《节能节水专用设备企业所得税优惠目录》中节能节水设备的投资额，可以依法抵免企业所得税应纳税额。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企业以符合国家政策规定的资源作为主要原材料，生产国家非限制和非禁止并符合国家和行业相关标准的建筑节能与绿色建筑产品取得的收入，在计算应纳税所得额时，依法享受税收优惠。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仿宋_GB2312" w:hAnsi="Times New Roman" w:eastAsia="仿宋_GB2312" w:cs="仿宋_GB2312"/>
          <w:color w:val="000000"/>
          <w:kern w:val="2"/>
          <w:sz w:val="32"/>
          <w:szCs w:val="32"/>
          <w:lang w:val="en-US" w:eastAsia="zh-CN" w:bidi="ar"/>
        </w:rPr>
        <w:t xml:space="preserve">  经专有部分占建筑物总面积三分之二以上的业主且占总人数三分之二以上的业主同意，既有建筑的房屋专项维修资金可以用于建筑节能与绿色建筑改造。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县级以上人民政府应当制定优惠政策，鼓励社会资金参与可再生能源建筑应用、既有建筑节能改造及绿色建筑等项目。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对采用地源热泵系统供热制冷并在取水井和回灌井安装检定合格计量装置的，经县级以上人民政府水行政主管部门核实，按取水量和回水量的差额征收水资源费。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支持和鼓励绿色建材产业发展，逐步提高建筑墙体保温与结构一体化技术、高性能混凝土、高强度钢筋在建筑中应用的比例。</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违反本条例第十五条第一款规定，施工单位未按照经审查合格的施工图设计文件组织施工的，由县级以上人民政府住房和城乡建设行政主管部门责令限期改正；逾期不改的，处以工程合同价款2%以上4%以下罚款；造成损失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违反本条例第十八条规定，能效测评机构出具虚假测评报告的，由县级以上人民政府住房和城乡建设行政主管部门责令限期改正，处以5万元以上10万元以下罚款；有违法所得的，没收违法所得。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违反本条例第二十七条第一款规定，未安装分户、分类、分项用电计量装置的，由县级以上人民政府住房和城乡建设行政主管部门责令限期改正；逾期不改的，处以10万元以上20万元以下罚款。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二十七条第三款规定，未定期维护、维修、检定用电计量装置，导致用电计量装置不能正常使用的，由县级以上人民政府住房和城乡建设行政主管部门责令限期改正；逾期不改的，处以1万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住房和城乡建设行政主管部门及其他有关部门工作人员在民用建筑节能与绿色建筑发展工作中玩忽职守、徇私舞弊、滥用职权，尚不构成犯罪的，对直接负责的主管人员和其他直接责任人依法给予行政处分。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第五十二条</w:t>
      </w:r>
      <w:r>
        <w:rPr>
          <w:rFonts w:hint="eastAsia" w:ascii="仿宋_GB2312" w:hAnsi="Times New Roman" w:eastAsia="仿宋_GB2312" w:cs="仿宋_GB2312"/>
          <w:color w:val="000000"/>
          <w:kern w:val="2"/>
          <w:sz w:val="32"/>
          <w:szCs w:val="32"/>
          <w:lang w:val="en-US" w:eastAsia="zh-CN" w:bidi="ar"/>
        </w:rPr>
        <w:t xml:space="preserve">  违反本条例规定的其他违法行为，按照有关法律、法规的规定予以处罚。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Times New Roman" w:eastAsia="仿宋_GB2312" w:cs="仿宋_GB2312"/>
          <w:color w:val="000000"/>
          <w:kern w:val="2"/>
          <w:sz w:val="32"/>
          <w:szCs w:val="32"/>
          <w:lang w:val="en-US" w:eastAsia="zh-CN" w:bidi="ar"/>
        </w:rPr>
        <w:t xml:space="preserve">  本条例下列用语的定义是：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（一）民用建筑，是指居住建筑、国家机关办公建筑和商业、服务业、教育、卫生等其他公共建筑。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（二）民用建筑节能，是指在保证民用建筑使用功能和室内热环境质量的前提下，降低其使用过程中能源消耗的活动。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（三）绿色建筑，是指在建筑的全寿命周期内，最大限度地节约资源、保护环境和减少污染，为人们提供健康、适用和高效的使用空间，与自然和谐共生的建筑。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（四）大型公共建筑，是指单体建筑面积2万平方米以上的公共建筑。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（五）公共机构，是指全部或者部分使用财政性资金的国家机关、事业单位和团体组织。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建筑工业化，是指以构件预制化生产、装配式施工为生产方式，以设计标准化、构件部品化、施工机械化、管理信息化为特征，能够整合设计、生产、施工等整个产业链，实现建筑产品节能、环保、全生命周期价值最大化的可持续发展的新型建筑生产方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本条例自2015年10月1日起施行。</w:t>
      </w:r>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variable"/>
    <w:sig w:usb0="00000003" w:usb1="288F0000" w:usb2="00000006" w:usb3="00000000" w:csb0="00040001" w:csb1="00000000"/>
  </w:font>
  <w:font w:name="@楷体">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B3C2BEC"/>
    <w:rsid w:val="1C15775C"/>
    <w:rsid w:val="307664D7"/>
    <w:rsid w:val="32D90610"/>
    <w:rsid w:val="47F62168"/>
    <w:rsid w:val="62E02C81"/>
    <w:rsid w:val="67E31064"/>
    <w:rsid w:val="685460C8"/>
    <w:rsid w:val="685A2748"/>
    <w:rsid w:val="68E01EF2"/>
    <w:rsid w:val="6F647635"/>
    <w:rsid w:val="70E22EA6"/>
    <w:rsid w:val="75524812"/>
    <w:rsid w:val="76215255"/>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2019-03-21T08:04:48Z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