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贵州省行政事业性收费管理条例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贵州省行政事业性收费管理条例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（1994年9月28日贵州省第八届人民代表大会常务委员会第十一次会议通过　根据2010年9月17日贵州省第十一届人民代表大会常务委员会第十八次会议通过的《贵州省人民代表大会常务委员会关于修改部分地方性法规的决定》修正）</w:t>
      </w:r>
    </w:p>
    <w:p>
      <w:pPr>
        <w:rPr>
          <w:rFonts w:ascii="Times New Roman" w:eastAsia="宋体" w:hAnsi="Times New Roman" w:cs="宋体"/>
          <w:szCs w:val="32"/>
        </w:rPr>
      </w:pPr>
    </w:p>
    <w:p w14:paraId="5888BCF4">
      <w:pPr>
        <w:jc w:val="center"/>
        <w:rPr>
          <w:rFonts w:ascii="Times New Roman" w:eastAsia="黑体" w:hAnsi="Times New Roman" w:cs="黑体"/>
          <w:szCs w:val="32"/>
        </w:rPr>
      </w:pPr>
      <w:bookmarkStart w:id="2" w:name="第一章 总则"/>
      <w:bookmarkEnd w:id="2"/>
      <w:r>
        <w:rPr>
          <w:rFonts w:ascii="Times New Roman" w:eastAsia="黑体" w:hAnsi="Times New Roman" w:cs="黑体" w:hint="eastAsia"/>
          <w:szCs w:val="32"/>
        </w:rPr>
        <w:t>第一章　总　　则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一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为加强行政事业性收费的管理，规范地方各级人民政府、各部门在收费方面的行为，维护国家利益，保护公民、法人和其他组织的合法权益，促进廉政建设，根据国家法律、法规，结合我省实际，制定本条例。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二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本条例适用于我省境内实施行政、事业性收费的各级行政、司法机关和事业单位。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三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行政性收费是指国家行政、司法机关和法律、法规授权的组织（以下统称收费单位）行使国家管理职能，依照国家和省的规定收取的费用。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事业性收费是指事业单位（以下统称收费单位）为社会提供有效服务，依照国家和省的规定收取的补偿性费用。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四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国家对行政、事业性收费实行统一领导，分级管理，中央和省两级审批的原则。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省人民政府财政部门和物价部门是全省行政性、事业性收费的主管部门。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五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各级人民政府不得对收费单位下达收费指标和任务。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所有收费单位都必须依照国家和省规定的收费项目、范围、标准进行收费，并依法严格管理和使用。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禁止乱收费。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8" w:name="第二章 收费标准的核定原则"/>
      <w:bookmarkEnd w:id="8"/>
      <w:r>
        <w:rPr>
          <w:rFonts w:ascii="Times New Roman" w:eastAsia="黑体" w:hAnsi="Times New Roman" w:cs="黑体" w:hint="eastAsia"/>
          <w:szCs w:val="32"/>
        </w:rPr>
        <w:t>第二章　收费标准的核定原则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六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法定规费，按照法律、法规、规章的规定执行。法律、法规、规章没有明确收费标准的，按其规定的原则核定。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七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管理性收费，必须有管理事实，按照收费所得与该项管理经费缺额基本相抵的原则核定。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八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资源补偿性收费，根据法律、法规、规章的规定和国家有关政策，兼顾合理利用资源及企业承受能力核定。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九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社会公益、福利性收费，按其实际需要和公民的经济承受能力核定。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3" w:name="第十条"/>
      <w:bookmarkEnd w:id="13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社会事业有偿服务性收费，本着合理开支、以收抵支的原则核定。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一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依据法律、法规、规章的规定制发的证照，可按成本核收工本费。行政事业经费中已核有印制经费的不得收取。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15" w:name="第三章 收费审批权限和程序"/>
      <w:bookmarkEnd w:id="15"/>
      <w:r>
        <w:rPr>
          <w:rFonts w:ascii="Times New Roman" w:eastAsia="黑体" w:hAnsi="Times New Roman" w:cs="黑体" w:hint="eastAsia"/>
          <w:szCs w:val="32"/>
        </w:rPr>
        <w:t>第三章　收费审批权限和程序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二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行政、事业性收费项目，依据下列各项之一确定：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（一）全国人民代表大会及其常务委员会制定的法律；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（二）国务院制定的行政法规或规定；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（三）国家财政、物价主管部门联合制定或会同有关部门联合制定的规章或规定；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（四）省人民代表大会及其常务委员会制定或批准的地方性法规；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（五）省人民政府制定或批准的规章或规定。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三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设置收费项目，由收费单位或其主管部门申报，省人民政府财政部门会同物价部门审核；制定收费标准，由省人民政府物价部门会同财政部门审核。涉及农民负担的收费，还须会同省农民负担监督管理部门审核。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审核同意的收费项目和标准报省人民政府批准。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8" w:name="第十四条"/>
      <w:bookmarkEnd w:id="18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收费单位执行国家规定的收费项目和标准，须会同省人民政府财政、物价部门联合发文才能生效。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9" w:name="第十五条"/>
      <w:bookmarkEnd w:id="19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收费单位不得对性质、内容相同的项目重复收费。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对性质、内容相同的项目重复收费或收费管辖权发生争议的，由批准收费的部门裁定。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0" w:name="第十六条"/>
      <w:bookmarkEnd w:id="20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行政事业性收费项目所依据的法律、法规、规章和规定已废止或修改后取消收费规定的，收费应即行终止。省人民政府财政、物价部门应及时公告。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21" w:name="第四章 收费管理"/>
      <w:bookmarkEnd w:id="21"/>
      <w:r>
        <w:rPr>
          <w:rFonts w:ascii="Times New Roman" w:eastAsia="黑体" w:hAnsi="Times New Roman" w:cs="黑体" w:hint="eastAsia"/>
          <w:szCs w:val="32"/>
        </w:rPr>
        <w:t>第四章　收费管理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2" w:name="第十七条"/>
      <w:bookmarkEnd w:id="22"/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行政事业性收费实行许可证管理制度。收费许可证管理办法由省人民政府物价部门制定。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3" w:name="第十八条"/>
      <w:bookmarkEnd w:id="23"/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行政事业性收费实行统一票据管理制度。专用票据管理办法由省人民政府财政部门制定。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4" w:name="第十九条"/>
      <w:bookmarkEnd w:id="24"/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各级人民政府财政部门应按收支两条线的规定，加强对行政事业性收费的财务管理。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任何收费单位都不得拖欠、截留、坐支、挪用和私分行政事业性收费收入。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5" w:name="第二十条"/>
      <w:bookmarkEnd w:id="25"/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行政性收费应纳入财政预算内管理，所收款项，除国家另有规定外，应根据收费单位的行政隶属关系，分别作为本级财政的预算收入，全额上缴同级国库。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事业性收费收入，应纳入预算外资金管理，按《贵州省预算外资金管理条例》及其实施细则的规定执行。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26" w:name="第五章 监督检查"/>
      <w:bookmarkEnd w:id="26"/>
      <w:r>
        <w:rPr>
          <w:rFonts w:ascii="Times New Roman" w:eastAsia="黑体" w:hAnsi="Times New Roman" w:cs="黑体" w:hint="eastAsia"/>
          <w:szCs w:val="32"/>
        </w:rPr>
        <w:t>第五章　监督检查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7" w:name="第二十一条"/>
      <w:bookmarkEnd w:id="27"/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对违反本条例第十二条、第十三条规定的，各级人民政府及其财政、物价部门有权予以纠正或撤销。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8" w:name="第二十二条"/>
      <w:bookmarkEnd w:id="28"/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收费单位实施收费，应遵守下列规定：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（一）公开经批准的收费项目、范围、标准；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（二）使用国家和省财政部门统一制发或监制的专用票据；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（三）在固定收费场所悬挂收费许可证，在流动场所应出示收费证件和标志。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不符合上述三项规定的收费，被收费者有权拒交。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9" w:name="第二十三条"/>
      <w:bookmarkEnd w:id="29"/>
      <w:r>
        <w:rPr>
          <w:rFonts w:ascii="Times New Roman" w:eastAsia="黑体" w:hAnsi="Times New Roman" w:cs="黑体" w:hint="eastAsia"/>
          <w:sz w:val="32"/>
          <w:szCs w:val="32"/>
        </w:rPr>
        <w:t>第二十三条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收费单位的主管部门应加强收费管理与监督。收费单位和执行收费人员应秉公执法，严格按规定的项目、范围、标准收费。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0" w:name="第二十四条"/>
      <w:bookmarkEnd w:id="30"/>
      <w:r>
        <w:rPr>
          <w:rFonts w:ascii="Times New Roman" w:eastAsia="黑体" w:hAnsi="Times New Roman" w:cs="黑体" w:hint="eastAsia"/>
          <w:sz w:val="32"/>
          <w:szCs w:val="32"/>
        </w:rPr>
        <w:t>第二十四条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各级人民政府财政、物价部门应依法持证对行政事业性收费进行监督检查，建立定期综合审查制度。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收费单位接受检查时，应如实提供帐表、凭证等有关资料。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1" w:name="第二十五条"/>
      <w:bookmarkEnd w:id="31"/>
      <w:r>
        <w:rPr>
          <w:rFonts w:ascii="Times New Roman" w:eastAsia="黑体" w:hAnsi="Times New Roman" w:cs="黑体" w:hint="eastAsia"/>
          <w:sz w:val="32"/>
          <w:szCs w:val="32"/>
        </w:rPr>
        <w:t>第二十五条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各级人民政府审计、监察部门按各自的职责对行政事业性收费执行情况实施监督检查。对违反本条例规定的，有权依法处理，并追究直接责任人及主管负责人的责任。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2" w:name="第二十六条"/>
      <w:bookmarkEnd w:id="32"/>
      <w:r>
        <w:rPr>
          <w:rFonts w:ascii="Times New Roman" w:eastAsia="黑体" w:hAnsi="Times New Roman" w:cs="黑体" w:hint="eastAsia"/>
          <w:sz w:val="32"/>
          <w:szCs w:val="32"/>
        </w:rPr>
        <w:t>第二十六条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公民、法人和其他组织有权就违反本条例的行为，向人民政府或主管部门举报。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33" w:name="第六章 法律责任"/>
      <w:bookmarkEnd w:id="33"/>
      <w:r>
        <w:rPr>
          <w:rFonts w:ascii="Times New Roman" w:eastAsia="黑体" w:hAnsi="Times New Roman" w:cs="黑体" w:hint="eastAsia"/>
          <w:szCs w:val="32"/>
        </w:rPr>
        <w:t>第六章　法律责任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4" w:name="第二十七条"/>
      <w:bookmarkEnd w:id="34"/>
      <w:r>
        <w:rPr>
          <w:rFonts w:ascii="Times New Roman" w:eastAsia="黑体" w:hAnsi="Times New Roman" w:cs="黑体" w:hint="eastAsia"/>
          <w:sz w:val="32"/>
          <w:szCs w:val="32"/>
        </w:rPr>
        <w:t>第二十七条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行政事业性收费实行收费单位首长负责制。对违反本条例规定造成不良后果的，视情节追究责任。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5" w:name="第二十八条"/>
      <w:bookmarkEnd w:id="35"/>
      <w:r>
        <w:rPr>
          <w:rFonts w:ascii="Times New Roman" w:eastAsia="黑体" w:hAnsi="Times New Roman" w:cs="黑体" w:hint="eastAsia"/>
          <w:sz w:val="32"/>
          <w:szCs w:val="32"/>
        </w:rPr>
        <w:t>第二十八条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有下列行为之一的，属于违法行为：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（一）擅自设立或越权批准收费项目的；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（二）越权制定或者调整收费标准，扩大收费范围的；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（三）不领取收费许可证而收费的；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（四）不使用专用票据收费的；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（五）擅自分解收费项目进行收费的；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（六）收费项目被撤销后继续收费的；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（七）不按规定亮证收费的；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（八）拒报或者谎报收费收入和支出资料的；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（九）隐瞒、截留、转移、坐支、挪用、私分收费款项的；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（十）拒绝接受财政、物价部门检查或者不如实提供检查所需资料的；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（十一）其他违反本条例的行为。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6" w:name="第二十九条"/>
      <w:bookmarkEnd w:id="36"/>
      <w:r>
        <w:rPr>
          <w:rFonts w:ascii="Times New Roman" w:eastAsia="黑体" w:hAnsi="Times New Roman" w:cs="黑体" w:hint="eastAsia"/>
          <w:sz w:val="32"/>
          <w:szCs w:val="32"/>
        </w:rPr>
        <w:t>第二十九条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有前条（一）、（四）、（五）、（六）、（九）项行为之一的，由财政部门负责查处；对有前条（二）、（三）、（七）项行为之一的，由物价检查机构负责查处；对有前条（八）、（十）、（十一）项行为之一的，依据“谁先发现谁处理”的原则，由财政或物价检查机构查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7" w:name="第三十条"/>
      <w:bookmarkEnd w:id="37"/>
      <w:r>
        <w:rPr>
          <w:rFonts w:ascii="Times New Roman" w:eastAsia="黑体" w:hAnsi="Times New Roman" w:cs="黑体" w:hint="eastAsia"/>
          <w:sz w:val="32"/>
          <w:szCs w:val="32"/>
        </w:rPr>
        <w:t>第三十条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对有本条例第二十八条行为之一的，财政、物价检查机构除责令其将非法收入退还外，应当根据情节轻重给予处罚，可以单处或并处：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（一）责令停止收费；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（二）没收非法所得；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（三）暂扣或吊销收费许可证；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（四）对收费单位处以违法金额的二倍以下罚款；对其主管人员和直接责任人员处以不超过本人三个月工资的罚款。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情节严重的，可建议有关部门给予主管人员和直接责任人员行政处分。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8" w:name="第三十一条"/>
      <w:bookmarkEnd w:id="38"/>
      <w:r>
        <w:rPr>
          <w:rFonts w:ascii="Times New Roman" w:eastAsia="黑体" w:hAnsi="Times New Roman" w:cs="黑体" w:hint="eastAsia"/>
          <w:sz w:val="32"/>
          <w:szCs w:val="32"/>
        </w:rPr>
        <w:t>第三十一条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各级人民政府财政、物价部门有关人员应秉公执法，对玩忽职守、滥用职权、徇私舞弊的，根据情节轻重给予行政处分。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9" w:name="第三十二条"/>
      <w:bookmarkEnd w:id="39"/>
      <w:r>
        <w:rPr>
          <w:rFonts w:ascii="Times New Roman" w:eastAsia="黑体" w:hAnsi="Times New Roman" w:cs="黑体" w:hint="eastAsia"/>
          <w:sz w:val="32"/>
          <w:szCs w:val="32"/>
        </w:rPr>
        <w:t>第三十二条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对拒绝、阻碍收费人员或监督检查人员依法履行职责的，由公安机关依据治安管理法律、法规的规定予以处罚。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40" w:name="第七章 附则"/>
      <w:bookmarkEnd w:id="40"/>
      <w:r>
        <w:rPr>
          <w:rFonts w:ascii="Times New Roman" w:eastAsia="黑体" w:hAnsi="Times New Roman" w:cs="黑体" w:hint="eastAsia"/>
          <w:szCs w:val="32"/>
        </w:rPr>
        <w:t>第七章　附　　则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1" w:name="第三十三条"/>
      <w:bookmarkEnd w:id="41"/>
      <w:r>
        <w:rPr>
          <w:rFonts w:ascii="Times New Roman" w:eastAsia="黑体" w:hAnsi="Times New Roman" w:cs="黑体" w:hint="eastAsia"/>
          <w:sz w:val="32"/>
          <w:szCs w:val="32"/>
        </w:rPr>
        <w:t>第三十三条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省人民政府可依据本条例制定实施细则。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2" w:name="第三十四条"/>
      <w:bookmarkEnd w:id="42"/>
      <w:r>
        <w:rPr>
          <w:rFonts w:ascii="Times New Roman" w:eastAsia="黑体" w:hAnsi="Times New Roman" w:cs="黑体" w:hint="eastAsia"/>
          <w:sz w:val="32"/>
          <w:szCs w:val="32"/>
        </w:rPr>
        <w:t>第三十四条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本条例自1995年1月1日起施行。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