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7865AC">
      <w:pPr>
        <w:rPr>
          <w:rFonts w:ascii="Times New Roman" w:hAnsi="Times New Roman" w:eastAsia="宋体" w:cs="宋体"/>
          <w:szCs w:val="32"/>
        </w:rPr>
      </w:pPr>
    </w:p>
    <w:p w14:paraId="0B5349CB">
      <w:pPr>
        <w:rPr>
          <w:rFonts w:ascii="Times New Roman" w:hAnsi="Times New Roman" w:eastAsia="宋体" w:cs="宋体"/>
          <w:szCs w:val="32"/>
        </w:rPr>
      </w:pPr>
    </w:p>
    <w:p w14:paraId="27BFE8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黔西南布依族苗族自治州人民代表大会关于废止《贵州省顶效经济开发区管理条例》的决定"/>
      <w:bookmarkEnd w:id="0"/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黔西南布依族苗族自治州人民代表大会</w:t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关于废止《贵州省顶效经济开发区</w:t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管理条例》的决定</w:t>
      </w:r>
    </w:p>
    <w:p w14:paraId="6728C7D5">
      <w:pPr>
        <w:rPr>
          <w:rFonts w:ascii="Times New Roman" w:hAnsi="Times New Roman" w:eastAsia="宋体" w:cs="宋体"/>
          <w:szCs w:val="32"/>
        </w:rPr>
      </w:pPr>
    </w:p>
    <w:p w14:paraId="61A01B6D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（2022年12月30日黔西南布依族苗族自治州第九届人民代表大会第二次会议通过　2023年3月25日贵州省第十四届人民代表大会常务委员会第二次会议批准）</w:t>
      </w:r>
    </w:p>
    <w:p w14:paraId="459E1CBE">
      <w:pPr>
        <w:rPr>
          <w:rFonts w:ascii="Times New Roman" w:hAnsi="Times New Roman" w:eastAsia="宋体" w:cs="宋体"/>
          <w:szCs w:val="32"/>
        </w:rPr>
      </w:pPr>
    </w:p>
    <w:p w14:paraId="128342A4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黔西南布依族苗族自治州第九届人民代表大会第二次会议审议了《关于废止〈贵州省顶效经济开发区管理条例〉的议案》，决定废止《贵州省顶效经济开发区管理条例》，并报请贵州省人民代表大会常务委员会批准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ˎ̥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C00145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906DA5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IxNGNjZTJlZjgyZmVhMDdiNGEyY2U0Yzg0MGFkMz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7910E6F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1C6E2D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autoRedefine/>
    <w:unhideWhenUsed/>
    <w:qFormat/>
    <w:uiPriority w:val="99"/>
    <w:rPr>
      <w:color w:val="954F72"/>
      <w:u w:val="single"/>
    </w:rPr>
  </w:style>
  <w:style w:type="character" w:styleId="9">
    <w:name w:val="Hyperlink"/>
    <w:autoRedefine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201</Words>
  <Characters>210</Characters>
  <Lines>87</Lines>
  <Paragraphs>24</Paragraphs>
  <TotalTime>2</TotalTime>
  <ScaleCrop>false</ScaleCrop>
  <LinksUpToDate>false</LinksUpToDate>
  <CharactersWithSpaces>211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晓涵</cp:lastModifiedBy>
  <cp:lastPrinted>2024-07-19T01:09:00Z</cp:lastPrinted>
  <dcterms:modified xsi:type="dcterms:W3CDTF">2025-03-18T03:37:11Z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2052-12.1.0.20305</vt:lpwstr>
  </property>
  <property fmtid="{D5CDD505-2E9C-101B-9397-08002B2CF9AE}" pid="4" name="KSOTemplateDocerSaveRecord">
    <vt:lpwstr>eyJoZGlkIjoiMTY2YzU3OGEzYzE4N2Q4NzRjYjliYjM1OTk3NzMwZWQiLCJ1c2VySWQiOiIyOTYzOTg2ODkifQ==</vt:lpwstr>
  </property>
</Properties>
</file>