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57B" w:rsidRDefault="000A357B" w:rsidP="000A357B">
      <w:pPr>
        <w:spacing w:line="592" w:lineRule="exact"/>
        <w:ind w:firstLineChars="200" w:firstLine="31680"/>
        <w:rPr>
          <w:rFonts w:ascii="宋体" w:cs="宋体"/>
          <w:b/>
          <w:bCs/>
        </w:rPr>
      </w:pPr>
    </w:p>
    <w:p w:rsidR="000A357B" w:rsidRDefault="000A357B" w:rsidP="00ED7091">
      <w:pPr>
        <w:spacing w:line="592" w:lineRule="exact"/>
        <w:ind w:firstLineChars="200" w:firstLine="31680"/>
        <w:rPr>
          <w:rFonts w:ascii="宋体" w:cs="宋体"/>
          <w:b/>
          <w:bCs/>
        </w:rPr>
      </w:pPr>
    </w:p>
    <w:p w:rsidR="000A357B" w:rsidRPr="00F43E01" w:rsidRDefault="000A357B" w:rsidP="00ED7091">
      <w:pPr>
        <w:spacing w:line="592" w:lineRule="exact"/>
        <w:jc w:val="center"/>
        <w:rPr>
          <w:rFonts w:ascii="宋体"/>
        </w:rPr>
      </w:pPr>
      <w:r w:rsidRPr="00ED6EB7">
        <w:rPr>
          <w:rFonts w:ascii="宋体" w:hAnsi="宋体" w:cs="宋体" w:hint="eastAsia"/>
          <w:sz w:val="44"/>
          <w:szCs w:val="44"/>
        </w:rPr>
        <w:t>黔西南布依族苗族自治州执行</w:t>
      </w:r>
    </w:p>
    <w:p w:rsidR="000A357B" w:rsidRPr="00F43E01" w:rsidRDefault="000A357B" w:rsidP="00ED7091">
      <w:pPr>
        <w:spacing w:line="592" w:lineRule="exact"/>
        <w:jc w:val="center"/>
        <w:rPr>
          <w:rFonts w:ascii="宋体"/>
        </w:rPr>
      </w:pPr>
      <w:r w:rsidRPr="00ED6EB7">
        <w:rPr>
          <w:rFonts w:ascii="宋体" w:hAnsi="宋体" w:cs="宋体" w:hint="eastAsia"/>
          <w:sz w:val="44"/>
          <w:szCs w:val="44"/>
        </w:rPr>
        <w:t>《中华人民共和国森林法》变通规定</w:t>
      </w:r>
    </w:p>
    <w:p w:rsidR="000A357B" w:rsidRPr="00F43E01" w:rsidRDefault="000A357B" w:rsidP="00ED7091">
      <w:pPr>
        <w:spacing w:line="592" w:lineRule="exact"/>
        <w:ind w:firstLineChars="200" w:firstLine="31680"/>
        <w:rPr>
          <w:rFonts w:ascii="宋体"/>
        </w:rPr>
      </w:pPr>
    </w:p>
    <w:p w:rsidR="000A357B" w:rsidRPr="00F43E01" w:rsidRDefault="000A357B" w:rsidP="00ED7091">
      <w:pPr>
        <w:spacing w:line="592" w:lineRule="exact"/>
        <w:ind w:leftChars="200" w:left="31680" w:rightChars="248" w:right="31680"/>
      </w:pPr>
      <w:r w:rsidRPr="00ED6EB7">
        <w:rPr>
          <w:rFonts w:ascii="楷体_GB2312" w:eastAsia="楷体_GB2312" w:cs="楷体_GB2312" w:hint="eastAsia"/>
        </w:rPr>
        <w:t>（</w:t>
      </w:r>
      <w:r w:rsidRPr="00ED6EB7">
        <w:rPr>
          <w:rFonts w:ascii="楷体_GB2312" w:eastAsia="楷体_GB2312" w:cs="楷体_GB2312"/>
        </w:rPr>
        <w:t>1996</w:t>
      </w:r>
      <w:r w:rsidRPr="00ED6EB7">
        <w:rPr>
          <w:rFonts w:ascii="楷体_GB2312" w:eastAsia="楷体_GB2312" w:cs="楷体_GB2312" w:hint="eastAsia"/>
        </w:rPr>
        <w:t>年</w:t>
      </w:r>
      <w:r w:rsidRPr="00ED6EB7">
        <w:rPr>
          <w:rFonts w:ascii="楷体_GB2312" w:eastAsia="楷体_GB2312" w:cs="楷体_GB2312"/>
        </w:rPr>
        <w:t>4</w:t>
      </w:r>
      <w:r w:rsidRPr="00ED6EB7">
        <w:rPr>
          <w:rFonts w:ascii="楷体_GB2312" w:eastAsia="楷体_GB2312" w:cs="楷体_GB2312" w:hint="eastAsia"/>
        </w:rPr>
        <w:t>月</w:t>
      </w:r>
      <w:r w:rsidRPr="00ED6EB7">
        <w:rPr>
          <w:rFonts w:ascii="楷体_GB2312" w:eastAsia="楷体_GB2312" w:cs="楷体_GB2312"/>
        </w:rPr>
        <w:t>13</w:t>
      </w:r>
      <w:r w:rsidRPr="00ED6EB7">
        <w:rPr>
          <w:rFonts w:ascii="楷体_GB2312" w:eastAsia="楷体_GB2312" w:cs="楷体_GB2312" w:hint="eastAsia"/>
        </w:rPr>
        <w:t>日黔西南州第三届人民代表大会第六次会议通过</w:t>
      </w:r>
      <w:r w:rsidRPr="00ED6EB7">
        <w:rPr>
          <w:rFonts w:ascii="楷体_GB2312" w:eastAsia="楷体_GB2312" w:cs="楷体_GB2312"/>
        </w:rPr>
        <w:t xml:space="preserve"> </w:t>
      </w:r>
      <w:r>
        <w:rPr>
          <w:rFonts w:ascii="楷体_GB2312" w:eastAsia="楷体_GB2312" w:cs="楷体_GB2312"/>
        </w:rPr>
        <w:t xml:space="preserve"> </w:t>
      </w:r>
      <w:r w:rsidRPr="00ED6EB7">
        <w:rPr>
          <w:rFonts w:ascii="楷体_GB2312" w:eastAsia="楷体_GB2312" w:cs="楷体_GB2312"/>
        </w:rPr>
        <w:t>1996</w:t>
      </w:r>
      <w:r w:rsidRPr="00ED6EB7">
        <w:rPr>
          <w:rFonts w:ascii="楷体_GB2312" w:eastAsia="楷体_GB2312" w:cs="楷体_GB2312" w:hint="eastAsia"/>
        </w:rPr>
        <w:t>年</w:t>
      </w:r>
      <w:r w:rsidRPr="00ED6EB7">
        <w:rPr>
          <w:rFonts w:ascii="楷体_GB2312" w:eastAsia="楷体_GB2312" w:cs="楷体_GB2312"/>
        </w:rPr>
        <w:t>8</w:t>
      </w:r>
      <w:r w:rsidRPr="00ED6EB7">
        <w:rPr>
          <w:rFonts w:ascii="楷体_GB2312" w:eastAsia="楷体_GB2312" w:cs="楷体_GB2312" w:hint="eastAsia"/>
        </w:rPr>
        <w:t>月</w:t>
      </w:r>
      <w:r w:rsidRPr="00ED6EB7">
        <w:rPr>
          <w:rFonts w:ascii="楷体_GB2312" w:eastAsia="楷体_GB2312" w:cs="楷体_GB2312"/>
        </w:rPr>
        <w:t>2</w:t>
      </w:r>
      <w:r w:rsidRPr="00ED6EB7">
        <w:rPr>
          <w:rFonts w:ascii="楷体_GB2312" w:eastAsia="楷体_GB2312" w:cs="楷体_GB2312" w:hint="eastAsia"/>
        </w:rPr>
        <w:t>日贵州省第八届人民代表大会常务委员会第二十三次会议批准）</w:t>
      </w:r>
    </w:p>
    <w:p w:rsidR="000A357B" w:rsidRPr="00F43E01" w:rsidRDefault="000A357B" w:rsidP="00ED7091">
      <w:pPr>
        <w:spacing w:line="592" w:lineRule="exact"/>
        <w:ind w:firstLineChars="200" w:firstLine="31680"/>
        <w:rPr>
          <w:rFonts w:ascii="黑体" w:eastAsia="黑体"/>
        </w:rPr>
      </w:pPr>
    </w:p>
    <w:p w:rsidR="000A357B" w:rsidRPr="00F43E01" w:rsidRDefault="000A357B" w:rsidP="00ED7091">
      <w:pPr>
        <w:spacing w:line="592" w:lineRule="exact"/>
        <w:ind w:firstLineChars="200" w:firstLine="31680"/>
        <w:rPr>
          <w:rFonts w:ascii="仿宋_GB2312"/>
        </w:rPr>
      </w:pPr>
      <w:r w:rsidRPr="009C59D0">
        <w:rPr>
          <w:rFonts w:ascii="黑体" w:eastAsia="黑体" w:hAnsi="黑体" w:cs="黑体" w:hint="eastAsia"/>
        </w:rPr>
        <w:t>第一条</w:t>
      </w:r>
      <w:r w:rsidRPr="00262184">
        <w:rPr>
          <w:rFonts w:ascii="仿宋_GB2312" w:eastAsia="仿宋_GB2312" w:cs="仿宋_GB2312" w:hint="eastAsia"/>
        </w:rPr>
        <w:t xml:space="preserve">　为发展林业，保护、培育、合理利用森林资源，改善生态环境，根据《中华人民共和国民族区域自治法</w:t>
      </w:r>
      <w:r>
        <w:rPr>
          <w:rFonts w:ascii="仿宋_GB2312" w:eastAsia="仿宋_GB2312" w:cs="仿宋_GB2312" w:hint="eastAsia"/>
        </w:rPr>
        <w:t>》、《中华人民共和国森林法》，结合本州实际，制定本变通规定。</w:t>
      </w:r>
    </w:p>
    <w:p w:rsidR="000A357B" w:rsidRPr="00F43E01" w:rsidRDefault="000A357B" w:rsidP="00ED7091">
      <w:pPr>
        <w:spacing w:line="592" w:lineRule="exact"/>
        <w:ind w:firstLineChars="200" w:firstLine="31680"/>
        <w:rPr>
          <w:rFonts w:ascii="仿宋_GB2312"/>
        </w:rPr>
      </w:pPr>
      <w:r w:rsidRPr="009C59D0">
        <w:rPr>
          <w:rFonts w:ascii="黑体" w:eastAsia="黑体" w:hAnsi="黑体" w:cs="黑体" w:hint="eastAsia"/>
        </w:rPr>
        <w:t>第二条</w:t>
      </w:r>
      <w:r w:rsidRPr="00262184">
        <w:rPr>
          <w:rFonts w:ascii="仿宋_GB2312" w:eastAsia="仿宋_GB2312" w:cs="仿宋_GB2312" w:hint="eastAsia"/>
        </w:rPr>
        <w:t xml:space="preserve">　在本州境内从事森林资源的生产、保护、采伐利用、经营管理的一切组织和个人，都须遵守本规定。</w:t>
      </w:r>
    </w:p>
    <w:p w:rsidR="000A357B" w:rsidRPr="00F43E01" w:rsidRDefault="000A357B" w:rsidP="00ED7091">
      <w:pPr>
        <w:spacing w:line="592" w:lineRule="exact"/>
        <w:ind w:firstLineChars="200" w:firstLine="31680"/>
        <w:rPr>
          <w:rFonts w:ascii="仿宋_GB2312"/>
        </w:rPr>
      </w:pPr>
      <w:r w:rsidRPr="009C59D0">
        <w:rPr>
          <w:rFonts w:ascii="黑体" w:eastAsia="黑体" w:hAnsi="黑体" w:cs="黑体" w:hint="eastAsia"/>
        </w:rPr>
        <w:t xml:space="preserve">第三条　</w:t>
      </w:r>
      <w:r w:rsidRPr="00262184">
        <w:rPr>
          <w:rFonts w:ascii="仿宋_GB2312" w:eastAsia="仿宋_GB2312" w:cs="仿宋_GB2312" w:hint="eastAsia"/>
        </w:rPr>
        <w:t>开展全民义务植树活动。每年一月或七月为本州义务植树月。依法负有植树义务的公民，每人每年义务植树五株。县（市）城由所在地镇人民政府组织实施。农村由村民委员会组织实施。</w:t>
      </w:r>
    </w:p>
    <w:p w:rsidR="000A357B" w:rsidRPr="00F43E01" w:rsidRDefault="000A357B" w:rsidP="00ED7091">
      <w:pPr>
        <w:spacing w:line="592" w:lineRule="exact"/>
        <w:ind w:firstLineChars="200" w:firstLine="31680"/>
        <w:rPr>
          <w:rFonts w:ascii="仿宋_GB2312"/>
        </w:rPr>
      </w:pPr>
      <w:r w:rsidRPr="00CB3293">
        <w:rPr>
          <w:rFonts w:ascii="黑体" w:eastAsia="黑体" w:hAnsi="黑体" w:cs="黑体" w:hint="eastAsia"/>
        </w:rPr>
        <w:t>第四条</w:t>
      </w:r>
      <w:r w:rsidRPr="00262184">
        <w:rPr>
          <w:rFonts w:ascii="仿宋_GB2312" w:eastAsia="仿宋_GB2312" w:cs="仿宋_GB2312" w:hint="eastAsia"/>
        </w:rPr>
        <w:t xml:space="preserve">　坚持和完善林业生产责任制。鼓励国有单位、集体、个人大力发展林业。</w:t>
      </w:r>
    </w:p>
    <w:p w:rsidR="000A357B" w:rsidRPr="00F43E01" w:rsidRDefault="000A357B" w:rsidP="00ED7091">
      <w:pPr>
        <w:spacing w:line="592" w:lineRule="exact"/>
        <w:ind w:firstLineChars="200" w:firstLine="31680"/>
        <w:rPr>
          <w:rFonts w:ascii="仿宋_GB2312"/>
        </w:rPr>
      </w:pPr>
      <w:r w:rsidRPr="00262184">
        <w:rPr>
          <w:rFonts w:ascii="仿宋_GB2312" w:eastAsia="仿宋_GB2312" w:cs="仿宋_GB2312" w:hint="eastAsia"/>
        </w:rPr>
        <w:t>在土地权属清楚的前提下，造林实行谁造谁有，允许继承和转让。</w:t>
      </w:r>
    </w:p>
    <w:p w:rsidR="000A357B" w:rsidRPr="00F43E01" w:rsidRDefault="000A357B" w:rsidP="00ED7091">
      <w:pPr>
        <w:spacing w:line="592" w:lineRule="exact"/>
        <w:ind w:firstLineChars="200" w:firstLine="31680"/>
        <w:rPr>
          <w:rFonts w:ascii="仿宋_GB2312"/>
        </w:rPr>
      </w:pPr>
      <w:r w:rsidRPr="00262184">
        <w:rPr>
          <w:rFonts w:ascii="仿宋_GB2312" w:eastAsia="仿宋_GB2312" w:cs="仿宋_GB2312" w:hint="eastAsia"/>
        </w:rPr>
        <w:t>允许拍卖荒山、荒坡、荒滩、荒沟的土地使用权进行林业开发，但必须签订拍卖合同，明确权利、义务和土地使用年限。土地使用年限最长不得超过七十年。</w:t>
      </w:r>
    </w:p>
    <w:p w:rsidR="000A357B" w:rsidRPr="00F43E01" w:rsidRDefault="000A357B" w:rsidP="00ED7091">
      <w:pPr>
        <w:spacing w:line="592" w:lineRule="exact"/>
        <w:ind w:firstLineChars="200" w:firstLine="31680"/>
        <w:rPr>
          <w:rFonts w:ascii="仿宋_GB2312"/>
        </w:rPr>
      </w:pPr>
      <w:r w:rsidRPr="00262184">
        <w:rPr>
          <w:rFonts w:ascii="仿宋_GB2312" w:eastAsia="仿宋_GB2312" w:cs="仿宋_GB2312" w:hint="eastAsia"/>
        </w:rPr>
        <w:t>依法取得的林木所有权和林地使用权，允许转让、出租、抵押和参股经营。</w:t>
      </w:r>
    </w:p>
    <w:p w:rsidR="000A357B" w:rsidRPr="00F43E01" w:rsidRDefault="000A357B" w:rsidP="00ED7091">
      <w:pPr>
        <w:spacing w:line="592" w:lineRule="exact"/>
        <w:ind w:firstLineChars="200" w:firstLine="31680"/>
        <w:rPr>
          <w:rFonts w:ascii="仿宋_GB2312"/>
        </w:rPr>
      </w:pPr>
      <w:r w:rsidRPr="00262184">
        <w:rPr>
          <w:rFonts w:ascii="仿宋_GB2312" w:eastAsia="仿宋_GB2312" w:cs="仿宋_GB2312" w:hint="eastAsia"/>
        </w:rPr>
        <w:t>划定造林的责任山、自留山和承包的荒山三年内不造林的村民委员会或发包方有权收回土地使用权另行发包或拍卖。</w:t>
      </w:r>
    </w:p>
    <w:p w:rsidR="000A357B" w:rsidRPr="00F43E01" w:rsidRDefault="000A357B" w:rsidP="00ED7091">
      <w:pPr>
        <w:spacing w:line="592" w:lineRule="exact"/>
        <w:ind w:firstLineChars="200" w:firstLine="31680"/>
        <w:rPr>
          <w:rFonts w:ascii="仿宋_GB2312"/>
        </w:rPr>
      </w:pPr>
      <w:r w:rsidRPr="00262184">
        <w:rPr>
          <w:rFonts w:ascii="仿宋_GB2312" w:eastAsia="仿宋_GB2312" w:cs="仿宋_GB2312" w:hint="eastAsia"/>
        </w:rPr>
        <w:t>采伐林木的单位或个人，分别由县级林业主管部门、乡镇）人民政府督促限期完成更新造林任务。</w:t>
      </w:r>
    </w:p>
    <w:p w:rsidR="000A357B" w:rsidRPr="00F43E01" w:rsidRDefault="000A357B" w:rsidP="00ED7091">
      <w:pPr>
        <w:spacing w:line="592" w:lineRule="exact"/>
        <w:ind w:firstLineChars="200" w:firstLine="31680"/>
        <w:rPr>
          <w:rFonts w:ascii="仿宋_GB2312"/>
        </w:rPr>
      </w:pPr>
      <w:r w:rsidRPr="00CB3293">
        <w:rPr>
          <w:rFonts w:ascii="黑体" w:eastAsia="黑体" w:hAnsi="黑体" w:cs="黑体" w:hint="eastAsia"/>
        </w:rPr>
        <w:t>第五条</w:t>
      </w:r>
      <w:r w:rsidRPr="00262184">
        <w:rPr>
          <w:rFonts w:ascii="仿宋_GB2312" w:eastAsia="仿宋_GB2312" w:cs="仿宋_GB2312" w:hint="eastAsia"/>
        </w:rPr>
        <w:t xml:space="preserve">　经县、市以上人民政府批准的林业用地，不得擅自改变用途。符合国家规定必须占用国有或者征用集体所有林地的，占用、征用单位必须征得土地管理部门和林业主管部门的同意，按照法律规定的程序和审批权限报县、市以上人民政府批准。</w:t>
      </w:r>
    </w:p>
    <w:p w:rsidR="000A357B" w:rsidRPr="00F43E01" w:rsidRDefault="000A357B" w:rsidP="00ED7091">
      <w:pPr>
        <w:spacing w:line="592" w:lineRule="exact"/>
        <w:ind w:firstLineChars="200" w:firstLine="31680"/>
        <w:rPr>
          <w:rFonts w:ascii="仿宋_GB2312"/>
        </w:rPr>
      </w:pPr>
      <w:r w:rsidRPr="00CB3293">
        <w:rPr>
          <w:rFonts w:ascii="黑体" w:eastAsia="黑体" w:hAnsi="黑体" w:cs="黑体" w:hint="eastAsia"/>
        </w:rPr>
        <w:t>第六条</w:t>
      </w:r>
      <w:r w:rsidRPr="00262184">
        <w:rPr>
          <w:rFonts w:ascii="仿宋_GB2312" w:eastAsia="仿宋_GB2312" w:cs="仿宋_GB2312" w:hint="eastAsia"/>
        </w:rPr>
        <w:t xml:space="preserve">　全州森林采伐限额按五年总量控制，由州一次下达到县、市，各县、市可根据市场情况及更新速度进行调剂，但不能突破控制计划，商品材不得挤占其他分项采伐限额。</w:t>
      </w:r>
    </w:p>
    <w:p w:rsidR="000A357B" w:rsidRPr="00F43E01" w:rsidRDefault="000A357B" w:rsidP="00ED7091">
      <w:pPr>
        <w:spacing w:line="592" w:lineRule="exact"/>
        <w:ind w:firstLineChars="200" w:firstLine="31680"/>
        <w:rPr>
          <w:rFonts w:ascii="仿宋_GB2312"/>
        </w:rPr>
      </w:pPr>
      <w:r w:rsidRPr="00B8036A">
        <w:rPr>
          <w:rFonts w:ascii="黑体" w:eastAsia="黑体" w:hAnsi="黑体" w:cs="黑体" w:hint="eastAsia"/>
        </w:rPr>
        <w:t>第七条</w:t>
      </w:r>
      <w:r w:rsidRPr="00262184">
        <w:rPr>
          <w:rFonts w:ascii="仿宋_GB2312" w:eastAsia="仿宋_GB2312" w:cs="仿宋_GB2312" w:hint="eastAsia"/>
        </w:rPr>
        <w:t xml:space="preserve">　中幼林抚育间伐，短伐期工业用材林和药用林的采伐计划指标优先安排，实行计划单列，不列抵商品材指标。其采伐设计方案，由县级林业主管部门审批。</w:t>
      </w:r>
    </w:p>
    <w:p w:rsidR="000A357B" w:rsidRPr="00F43E01" w:rsidRDefault="000A357B" w:rsidP="00ED7091">
      <w:pPr>
        <w:spacing w:line="592" w:lineRule="exact"/>
        <w:ind w:firstLineChars="200" w:firstLine="31680"/>
        <w:rPr>
          <w:rFonts w:ascii="仿宋_GB2312"/>
        </w:rPr>
      </w:pPr>
      <w:r w:rsidRPr="00B8036A">
        <w:rPr>
          <w:rFonts w:ascii="黑体" w:eastAsia="黑体" w:hAnsi="黑体" w:cs="黑体" w:hint="eastAsia"/>
        </w:rPr>
        <w:t>第八条</w:t>
      </w:r>
      <w:r w:rsidRPr="00262184">
        <w:rPr>
          <w:rFonts w:ascii="仿宋_GB2312" w:eastAsia="仿宋_GB2312" w:cs="仿宋_GB2312" w:hint="eastAsia"/>
        </w:rPr>
        <w:t xml:space="preserve">　农村住户采伐本户房前屋后自留地和承包耕地中属个人所有的零星树木，可不办采伐许可证。但作为商品材及其制成品、半成品出售的，须出具村民委员会的证明。</w:t>
      </w:r>
    </w:p>
    <w:p w:rsidR="000A357B" w:rsidRPr="00F43E01" w:rsidRDefault="000A357B" w:rsidP="00ED7091">
      <w:pPr>
        <w:spacing w:line="592" w:lineRule="exact"/>
        <w:ind w:firstLineChars="200" w:firstLine="31680"/>
        <w:rPr>
          <w:rFonts w:ascii="仿宋_GB2312"/>
        </w:rPr>
      </w:pPr>
      <w:r w:rsidRPr="00C70396">
        <w:rPr>
          <w:rFonts w:ascii="黑体" w:eastAsia="黑体" w:hAnsi="黑体" w:cs="黑体" w:hint="eastAsia"/>
        </w:rPr>
        <w:t>第九条</w:t>
      </w:r>
      <w:r w:rsidRPr="00262184">
        <w:rPr>
          <w:rFonts w:ascii="仿宋_GB2312" w:eastAsia="仿宋_GB2312" w:cs="仿宋_GB2312" w:hint="eastAsia"/>
        </w:rPr>
        <w:t xml:space="preserve">　集体林场和林业承包户经县级林业主管部门批准采伐的木材，可以依法经营。</w:t>
      </w:r>
    </w:p>
    <w:p w:rsidR="000A357B" w:rsidRPr="00F43E01" w:rsidRDefault="000A357B" w:rsidP="00ED7091">
      <w:pPr>
        <w:spacing w:line="592" w:lineRule="exact"/>
        <w:ind w:firstLineChars="200" w:firstLine="31680"/>
        <w:rPr>
          <w:rFonts w:ascii="仿宋_GB2312"/>
        </w:rPr>
      </w:pPr>
      <w:r w:rsidRPr="00B8036A">
        <w:rPr>
          <w:rFonts w:ascii="黑体" w:eastAsia="黑体" w:hAnsi="黑体" w:cs="黑体" w:hint="eastAsia"/>
        </w:rPr>
        <w:t>第十条</w:t>
      </w:r>
      <w:r w:rsidRPr="00262184">
        <w:rPr>
          <w:rFonts w:ascii="仿宋_GB2312" w:eastAsia="仿宋_GB2312" w:cs="仿宋_GB2312" w:hint="eastAsia"/>
        </w:rPr>
        <w:t xml:space="preserve">　禁止采伐和经营州内古树和珍稀树木，确因病、虫、枯损或其他原因需要采伐的，须报经县以上人民政府林业主管部门审批。</w:t>
      </w:r>
    </w:p>
    <w:p w:rsidR="000A357B" w:rsidRPr="00F43E01" w:rsidRDefault="000A357B" w:rsidP="00ED7091">
      <w:pPr>
        <w:spacing w:line="592" w:lineRule="exact"/>
        <w:ind w:firstLineChars="200" w:firstLine="31680"/>
        <w:rPr>
          <w:rFonts w:ascii="仿宋_GB2312"/>
        </w:rPr>
      </w:pPr>
      <w:r w:rsidRPr="00B8036A">
        <w:rPr>
          <w:rFonts w:ascii="黑体" w:eastAsia="黑体" w:hAnsi="黑体" w:cs="黑体" w:hint="eastAsia"/>
        </w:rPr>
        <w:t>第十一条</w:t>
      </w:r>
      <w:r w:rsidRPr="00262184">
        <w:rPr>
          <w:rFonts w:ascii="仿宋_GB2312" w:eastAsia="仿宋_GB2312" w:cs="仿宋_GB2312" w:hint="eastAsia"/>
        </w:rPr>
        <w:t xml:space="preserve">　各级林业、工商等部门按照国家和省规定的收费项目收费时，应遵循有关法律、法规对民族自治地方经济利益给予更多照顾的规定，适当降低收费标准。</w:t>
      </w:r>
    </w:p>
    <w:p w:rsidR="000A357B" w:rsidRPr="00F43E01" w:rsidRDefault="000A357B" w:rsidP="00ED7091">
      <w:pPr>
        <w:spacing w:line="592" w:lineRule="exact"/>
        <w:ind w:firstLineChars="200" w:firstLine="31680"/>
        <w:rPr>
          <w:rFonts w:ascii="仿宋_GB2312"/>
        </w:rPr>
      </w:pPr>
      <w:r>
        <w:rPr>
          <w:rFonts w:ascii="仿宋_GB2312" w:eastAsia="仿宋_GB2312" w:cs="仿宋_GB2312" w:hint="eastAsia"/>
        </w:rPr>
        <w:t>严禁任何单位、个人在木材交易中非法、违规收取费用。</w:t>
      </w:r>
    </w:p>
    <w:p w:rsidR="000A357B" w:rsidRPr="00F43E01" w:rsidRDefault="000A357B" w:rsidP="00ED7091">
      <w:pPr>
        <w:spacing w:line="592" w:lineRule="exact"/>
        <w:ind w:firstLineChars="200" w:firstLine="31680"/>
        <w:rPr>
          <w:rFonts w:ascii="仿宋_GB2312"/>
        </w:rPr>
      </w:pPr>
      <w:r w:rsidRPr="00262184">
        <w:rPr>
          <w:rFonts w:ascii="仿宋_GB2312" w:eastAsia="仿宋_GB2312" w:cs="仿宋_GB2312" w:hint="eastAsia"/>
        </w:rPr>
        <w:t>第十二条　本规定未变通条款，仍按《中华人民共和国森林法》执行。</w:t>
      </w:r>
    </w:p>
    <w:p w:rsidR="000A357B" w:rsidRPr="00ED7091" w:rsidRDefault="000A357B" w:rsidP="00ED7091">
      <w:pPr>
        <w:spacing w:line="592" w:lineRule="exact"/>
        <w:ind w:firstLineChars="200" w:firstLine="31680"/>
        <w:rPr>
          <w:rFonts w:ascii="仿宋_GB2312"/>
        </w:rPr>
      </w:pPr>
      <w:r w:rsidRPr="00B8036A">
        <w:rPr>
          <w:rFonts w:ascii="黑体" w:eastAsia="黑体" w:hAnsi="黑体" w:cs="黑体" w:hint="eastAsia"/>
        </w:rPr>
        <w:t>第十三条</w:t>
      </w:r>
      <w:r w:rsidRPr="00262184">
        <w:rPr>
          <w:rFonts w:ascii="仿宋_GB2312" w:eastAsia="仿宋_GB2312" w:cs="仿宋_GB2312" w:hint="eastAsia"/>
        </w:rPr>
        <w:t xml:space="preserve">　本规定自公布之日起施行。</w:t>
      </w:r>
    </w:p>
    <w:sectPr w:rsidR="000A357B" w:rsidRPr="00ED7091" w:rsidSect="000A357B">
      <w:headerReference w:type="default" r:id="rId7"/>
      <w:footerReference w:type="default" r:id="rId8"/>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57B" w:rsidRDefault="000A357B">
      <w:r>
        <w:separator/>
      </w:r>
    </w:p>
  </w:endnote>
  <w:endnote w:type="continuationSeparator" w:id="1">
    <w:p w:rsidR="000A357B" w:rsidRDefault="000A357B">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57B" w:rsidRDefault="000A357B">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0A357B" w:rsidRDefault="000A357B">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57B" w:rsidRDefault="000A357B">
      <w:r>
        <w:separator/>
      </w:r>
    </w:p>
  </w:footnote>
  <w:footnote w:type="continuationSeparator" w:id="1">
    <w:p w:rsidR="000A357B" w:rsidRDefault="000A35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357B" w:rsidRDefault="000A357B">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B34A06"/>
    <w:multiLevelType w:val="multilevel"/>
    <w:tmpl w:val="38883AD0"/>
    <w:lvl w:ilvl="0">
      <w:start w:val="2"/>
      <w:numFmt w:val="japaneseCounting"/>
      <w:lvlText w:val="第%1章"/>
      <w:lvlJc w:val="left"/>
      <w:pPr>
        <w:tabs>
          <w:tab w:val="num" w:pos="1170"/>
        </w:tabs>
        <w:ind w:left="1170" w:hanging="1170"/>
      </w:pPr>
      <w:rPr>
        <w:rFonts w:ascii="黑体" w:eastAsia="黑体" w:hAnsi="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57CE0931"/>
    <w:multiLevelType w:val="singleLevel"/>
    <w:tmpl w:val="57CE0931"/>
    <w:lvl w:ilvl="0">
      <w:start w:val="1"/>
      <w:numFmt w:val="chineseCounting"/>
      <w:suff w:val="space"/>
      <w:lvlText w:val="第%1章"/>
      <w:lvlJc w:val="left"/>
    </w:lvl>
  </w:abstractNum>
  <w:abstractNum w:abstractNumId="2">
    <w:nsid w:val="62CE43CC"/>
    <w:multiLevelType w:val="hybridMultilevel"/>
    <w:tmpl w:val="4302F59A"/>
    <w:lvl w:ilvl="0" w:tplc="70D86C9E">
      <w:start w:val="3"/>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nsid w:val="71B73CBD"/>
    <w:multiLevelType w:val="hybridMultilevel"/>
    <w:tmpl w:val="4732AE68"/>
    <w:lvl w:ilvl="0" w:tplc="5FBAE328">
      <w:start w:val="1"/>
      <w:numFmt w:val="japaneseCounting"/>
      <w:lvlText w:val="第%1章"/>
      <w:lvlJc w:val="left"/>
      <w:pPr>
        <w:tabs>
          <w:tab w:val="num" w:pos="1935"/>
        </w:tabs>
        <w:ind w:left="1935" w:hanging="1125"/>
      </w:pPr>
      <w:rPr>
        <w:rFonts w:ascii="楷体_GB2312" w:eastAsia="楷体_GB2312" w:hint="eastAsia"/>
      </w:rPr>
    </w:lvl>
    <w:lvl w:ilvl="1" w:tplc="04090019">
      <w:start w:val="1"/>
      <w:numFmt w:val="lowerLetter"/>
      <w:lvlText w:val="%2)"/>
      <w:lvlJc w:val="left"/>
      <w:pPr>
        <w:tabs>
          <w:tab w:val="num" w:pos="1650"/>
        </w:tabs>
        <w:ind w:left="1650" w:hanging="420"/>
      </w:pPr>
    </w:lvl>
    <w:lvl w:ilvl="2" w:tplc="0409001B">
      <w:start w:val="1"/>
      <w:numFmt w:val="lowerRoman"/>
      <w:lvlText w:val="%3."/>
      <w:lvlJc w:val="right"/>
      <w:pPr>
        <w:tabs>
          <w:tab w:val="num" w:pos="2070"/>
        </w:tabs>
        <w:ind w:left="2070" w:hanging="420"/>
      </w:pPr>
    </w:lvl>
    <w:lvl w:ilvl="3" w:tplc="0409000F">
      <w:start w:val="1"/>
      <w:numFmt w:val="decimal"/>
      <w:lvlText w:val="%4."/>
      <w:lvlJc w:val="left"/>
      <w:pPr>
        <w:tabs>
          <w:tab w:val="num" w:pos="2490"/>
        </w:tabs>
        <w:ind w:left="2490" w:hanging="420"/>
      </w:pPr>
    </w:lvl>
    <w:lvl w:ilvl="4" w:tplc="04090019">
      <w:start w:val="1"/>
      <w:numFmt w:val="lowerLetter"/>
      <w:lvlText w:val="%5)"/>
      <w:lvlJc w:val="left"/>
      <w:pPr>
        <w:tabs>
          <w:tab w:val="num" w:pos="2910"/>
        </w:tabs>
        <w:ind w:left="2910" w:hanging="420"/>
      </w:pPr>
    </w:lvl>
    <w:lvl w:ilvl="5" w:tplc="0409001B">
      <w:start w:val="1"/>
      <w:numFmt w:val="lowerRoman"/>
      <w:lvlText w:val="%6."/>
      <w:lvlJc w:val="right"/>
      <w:pPr>
        <w:tabs>
          <w:tab w:val="num" w:pos="3330"/>
        </w:tabs>
        <w:ind w:left="3330" w:hanging="420"/>
      </w:pPr>
    </w:lvl>
    <w:lvl w:ilvl="6" w:tplc="0409000F">
      <w:start w:val="1"/>
      <w:numFmt w:val="decimal"/>
      <w:lvlText w:val="%7."/>
      <w:lvlJc w:val="left"/>
      <w:pPr>
        <w:tabs>
          <w:tab w:val="num" w:pos="3750"/>
        </w:tabs>
        <w:ind w:left="3750" w:hanging="420"/>
      </w:pPr>
    </w:lvl>
    <w:lvl w:ilvl="7" w:tplc="04090019">
      <w:start w:val="1"/>
      <w:numFmt w:val="lowerLetter"/>
      <w:lvlText w:val="%8)"/>
      <w:lvlJc w:val="left"/>
      <w:pPr>
        <w:tabs>
          <w:tab w:val="num" w:pos="4170"/>
        </w:tabs>
        <w:ind w:left="4170" w:hanging="420"/>
      </w:pPr>
    </w:lvl>
    <w:lvl w:ilvl="8" w:tplc="0409001B">
      <w:start w:val="1"/>
      <w:numFmt w:val="lowerRoman"/>
      <w:lvlText w:val="%9."/>
      <w:lvlJc w:val="right"/>
      <w:pPr>
        <w:tabs>
          <w:tab w:val="num" w:pos="4590"/>
        </w:tabs>
        <w:ind w:left="4590" w:hanging="42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31D3A"/>
    <w:rsid w:val="000458D1"/>
    <w:rsid w:val="000A357B"/>
    <w:rsid w:val="00117BB5"/>
    <w:rsid w:val="001363E7"/>
    <w:rsid w:val="00262184"/>
    <w:rsid w:val="0034066C"/>
    <w:rsid w:val="003E6D53"/>
    <w:rsid w:val="00476ADF"/>
    <w:rsid w:val="004A7168"/>
    <w:rsid w:val="004B492C"/>
    <w:rsid w:val="004C128C"/>
    <w:rsid w:val="005403FD"/>
    <w:rsid w:val="00542540"/>
    <w:rsid w:val="006867DA"/>
    <w:rsid w:val="006C1990"/>
    <w:rsid w:val="0073408F"/>
    <w:rsid w:val="00745376"/>
    <w:rsid w:val="00746969"/>
    <w:rsid w:val="00777B95"/>
    <w:rsid w:val="00784E1D"/>
    <w:rsid w:val="007B2458"/>
    <w:rsid w:val="007F1195"/>
    <w:rsid w:val="0084127D"/>
    <w:rsid w:val="008A2943"/>
    <w:rsid w:val="008C4C44"/>
    <w:rsid w:val="008F0F84"/>
    <w:rsid w:val="009C59D0"/>
    <w:rsid w:val="00A836D0"/>
    <w:rsid w:val="00B8036A"/>
    <w:rsid w:val="00BD002D"/>
    <w:rsid w:val="00C14D85"/>
    <w:rsid w:val="00C70396"/>
    <w:rsid w:val="00CB3293"/>
    <w:rsid w:val="00CF0282"/>
    <w:rsid w:val="00D331EC"/>
    <w:rsid w:val="00D41479"/>
    <w:rsid w:val="00DD0DD4"/>
    <w:rsid w:val="00E106AE"/>
    <w:rsid w:val="00ED6EB7"/>
    <w:rsid w:val="00ED7091"/>
    <w:rsid w:val="00F36389"/>
    <w:rsid w:val="00F43E01"/>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3B4039"/>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B403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3</Pages>
  <Words>175</Words>
  <Characters>1001</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黔西南布依族苗族自治州执行</dc:title>
  <dc:subject/>
  <dc:creator>Microsoft</dc:creator>
  <cp:keywords/>
  <dc:description/>
  <cp:lastModifiedBy>Windows 用户</cp:lastModifiedBy>
  <cp:revision>2</cp:revision>
  <cp:lastPrinted>2011-10-10T07:32:00Z</cp:lastPrinted>
  <dcterms:created xsi:type="dcterms:W3CDTF">2017-03-14T04:46:00Z</dcterms:created>
  <dcterms:modified xsi:type="dcterms:W3CDTF">2017-03-14T04:46:00Z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