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 w:hAnsi="仿宋" w:eastAsia="仿宋" w:cs="仿宋"/>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 w:hAnsi="仿宋" w:eastAsia="仿宋" w:cs="仿宋"/>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抚顺市法制宣传教育条例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0" w:leftChars="300" w:right="630" w:rightChars="300" w:firstLine="0" w:firstLineChars="0"/>
        <w:jc w:val="both"/>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 xml:space="preserve">（1996年8月23日抚顺市第十一届人民代表大会常务委员会第二十六次会议通过1996年9月28日辽宁省第八届人民代表大会常务委员会第二十三次会议批准 1996年10月26日公布施行根据2007年6月29日抚顺市第十三届人民代表大会常务委员会第三十三次会议通过2007年7月27日辽宁省第十届人民代表大会常务委员会第三十二次会议批准的《抚顺市人大常委会关于修改〈抚顺市法制宣传教育条例〉的决定》修正）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0" w:leftChars="300" w:right="630" w:rightChars="300" w:firstLine="0" w:firstLineChars="0"/>
        <w:jc w:val="both"/>
        <w:textAlignment w:val="auto"/>
        <w:outlineLvl w:val="9"/>
        <w:rPr>
          <w:rFonts w:hint="eastAsia" w:ascii="仿宋" w:hAnsi="仿宋" w:eastAsia="仿宋" w:cs="仿宋"/>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bookmarkStart w:id="12" w:name="_GoBack"/>
      <w:bookmarkEnd w:id="12"/>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楷体" w:hAnsi="楷体" w:eastAsia="楷体" w:cs="楷体"/>
          <w:kern w:val="2"/>
          <w:sz w:val="32"/>
          <w:szCs w:val="32"/>
          <w:lang w:val="en-US" w:eastAsia="zh-CN" w:bidi="ar"/>
        </w:rPr>
      </w:pP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TOC \o "1-1" \p " " \n  \h \u </w:instrText>
      </w:r>
      <w:r>
        <w:rPr>
          <w:rFonts w:hint="eastAsia" w:ascii="楷体" w:hAnsi="楷体" w:eastAsia="楷体" w:cs="楷体"/>
          <w:kern w:val="2"/>
          <w:sz w:val="32"/>
          <w:szCs w:val="32"/>
          <w:lang w:val="en-US" w:eastAsia="zh-CN" w:bidi="ar"/>
        </w:rPr>
        <w:fldChar w:fldCharType="separate"/>
      </w: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 HYPERLINK \l _Toc26789 </w:instrText>
      </w:r>
      <w:r>
        <w:rPr>
          <w:rFonts w:hint="eastAsia" w:ascii="楷体" w:hAnsi="楷体" w:eastAsia="楷体" w:cs="楷体"/>
          <w:kern w:val="2"/>
          <w:sz w:val="32"/>
          <w:szCs w:val="32"/>
          <w:lang w:val="en-US" w:eastAsia="zh-CN" w:bidi="ar"/>
        </w:rPr>
        <w:fldChar w:fldCharType="separate"/>
      </w:r>
      <w:r>
        <w:rPr>
          <w:rFonts w:hint="eastAsia" w:ascii="楷体" w:hAnsi="楷体" w:eastAsia="楷体" w:cs="楷体"/>
          <w:sz w:val="32"/>
          <w:szCs w:val="32"/>
        </w:rPr>
        <w:t xml:space="preserve">第一章 </w:t>
      </w:r>
      <w:r>
        <w:rPr>
          <w:rFonts w:hint="eastAsia" w:ascii="楷体" w:hAnsi="楷体" w:eastAsia="楷体" w:cs="楷体"/>
          <w:sz w:val="32"/>
          <w:szCs w:val="32"/>
          <w:lang w:val="en-US" w:eastAsia="zh-CN"/>
        </w:rPr>
        <w:t xml:space="preserve"> 总    则</w:t>
      </w:r>
      <w:r>
        <w:rPr>
          <w:rFonts w:hint="eastAsia" w:ascii="楷体" w:hAnsi="楷体" w:eastAsia="楷体" w:cs="楷体"/>
          <w:kern w:val="2"/>
          <w:sz w:val="32"/>
          <w:szCs w:val="32"/>
          <w:lang w:val="en-US" w:eastAsia="zh-CN" w:bidi="ar"/>
        </w:rPr>
        <w:fldChar w:fldCharType="end"/>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 HYPERLINK \l _Toc28013 </w:instrText>
      </w:r>
      <w:r>
        <w:rPr>
          <w:rFonts w:hint="eastAsia" w:ascii="楷体" w:hAnsi="楷体" w:eastAsia="楷体" w:cs="楷体"/>
          <w:kern w:val="2"/>
          <w:sz w:val="32"/>
          <w:szCs w:val="32"/>
          <w:lang w:val="en-US" w:eastAsia="zh-CN" w:bidi="ar"/>
        </w:rPr>
        <w:fldChar w:fldCharType="separate"/>
      </w:r>
      <w:r>
        <w:rPr>
          <w:rFonts w:hint="eastAsia" w:ascii="楷体" w:hAnsi="楷体" w:eastAsia="楷体" w:cs="楷体"/>
          <w:sz w:val="32"/>
          <w:szCs w:val="32"/>
          <w:lang w:val="en-US" w:eastAsia="zh-CN"/>
        </w:rPr>
        <w:t>第二章  对象、内容和形式</w:t>
      </w:r>
      <w:r>
        <w:rPr>
          <w:rFonts w:hint="eastAsia" w:ascii="楷体" w:hAnsi="楷体" w:eastAsia="楷体" w:cs="楷体"/>
          <w:kern w:val="2"/>
          <w:sz w:val="32"/>
          <w:szCs w:val="32"/>
          <w:lang w:val="en-US" w:eastAsia="zh-CN" w:bidi="ar"/>
        </w:rPr>
        <w:fldChar w:fldCharType="end"/>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 HYPERLINK \l _Toc7851 </w:instrText>
      </w:r>
      <w:r>
        <w:rPr>
          <w:rFonts w:hint="eastAsia" w:ascii="楷体" w:hAnsi="楷体" w:eastAsia="楷体" w:cs="楷体"/>
          <w:kern w:val="2"/>
          <w:sz w:val="32"/>
          <w:szCs w:val="32"/>
          <w:lang w:val="en-US" w:eastAsia="zh-CN" w:bidi="ar"/>
        </w:rPr>
        <w:fldChar w:fldCharType="separate"/>
      </w:r>
      <w:r>
        <w:rPr>
          <w:rFonts w:hint="eastAsia" w:ascii="楷体" w:hAnsi="楷体" w:eastAsia="楷体" w:cs="楷体"/>
          <w:sz w:val="32"/>
          <w:szCs w:val="32"/>
          <w:lang w:val="en-US" w:eastAsia="zh-CN"/>
        </w:rPr>
        <w:t>第三章  组织领导</w:t>
      </w:r>
      <w:r>
        <w:rPr>
          <w:rFonts w:hint="eastAsia" w:ascii="楷体" w:hAnsi="楷体" w:eastAsia="楷体" w:cs="楷体"/>
          <w:kern w:val="2"/>
          <w:sz w:val="32"/>
          <w:szCs w:val="32"/>
          <w:lang w:val="en-US" w:eastAsia="zh-CN" w:bidi="ar"/>
        </w:rPr>
        <w:fldChar w:fldCharType="end"/>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 HYPERLINK \l _Toc15966 </w:instrText>
      </w:r>
      <w:r>
        <w:rPr>
          <w:rFonts w:hint="eastAsia" w:ascii="楷体" w:hAnsi="楷体" w:eastAsia="楷体" w:cs="楷体"/>
          <w:kern w:val="2"/>
          <w:sz w:val="32"/>
          <w:szCs w:val="32"/>
          <w:lang w:val="en-US" w:eastAsia="zh-CN" w:bidi="ar"/>
        </w:rPr>
        <w:fldChar w:fldCharType="separate"/>
      </w:r>
      <w:r>
        <w:rPr>
          <w:rFonts w:hint="eastAsia" w:ascii="楷体" w:hAnsi="楷体" w:eastAsia="楷体" w:cs="楷体"/>
          <w:sz w:val="32"/>
          <w:szCs w:val="32"/>
          <w:lang w:val="en-US" w:eastAsia="zh-CN"/>
        </w:rPr>
        <w:t>第四章  保障措施</w:t>
      </w:r>
      <w:r>
        <w:rPr>
          <w:rFonts w:hint="eastAsia" w:ascii="楷体" w:hAnsi="楷体" w:eastAsia="楷体" w:cs="楷体"/>
          <w:kern w:val="2"/>
          <w:sz w:val="32"/>
          <w:szCs w:val="32"/>
          <w:lang w:val="en-US" w:eastAsia="zh-CN" w:bidi="ar"/>
        </w:rPr>
        <w:fldChar w:fldCharType="end"/>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 HYPERLINK \l _Toc11888 </w:instrText>
      </w:r>
      <w:r>
        <w:rPr>
          <w:rFonts w:hint="eastAsia" w:ascii="楷体" w:hAnsi="楷体" w:eastAsia="楷体" w:cs="楷体"/>
          <w:kern w:val="2"/>
          <w:sz w:val="32"/>
          <w:szCs w:val="32"/>
          <w:lang w:val="en-US" w:eastAsia="zh-CN" w:bidi="ar"/>
        </w:rPr>
        <w:fldChar w:fldCharType="separate"/>
      </w:r>
      <w:r>
        <w:rPr>
          <w:rFonts w:hint="eastAsia" w:ascii="楷体" w:hAnsi="楷体" w:eastAsia="楷体" w:cs="楷体"/>
          <w:sz w:val="32"/>
          <w:szCs w:val="32"/>
          <w:lang w:val="en-US" w:eastAsia="zh-CN"/>
        </w:rPr>
        <w:t>第五章  奖励与处罚</w:t>
      </w:r>
      <w:r>
        <w:rPr>
          <w:rFonts w:hint="eastAsia" w:ascii="楷体" w:hAnsi="楷体" w:eastAsia="楷体" w:cs="楷体"/>
          <w:kern w:val="2"/>
          <w:sz w:val="32"/>
          <w:szCs w:val="32"/>
          <w:lang w:val="en-US" w:eastAsia="zh-CN" w:bidi="ar"/>
        </w:rPr>
        <w:fldChar w:fldCharType="end"/>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 HYPERLINK \l _Toc29795 </w:instrText>
      </w:r>
      <w:r>
        <w:rPr>
          <w:rFonts w:hint="eastAsia" w:ascii="楷体" w:hAnsi="楷体" w:eastAsia="楷体" w:cs="楷体"/>
          <w:kern w:val="2"/>
          <w:sz w:val="32"/>
          <w:szCs w:val="32"/>
          <w:lang w:val="en-US" w:eastAsia="zh-CN" w:bidi="ar"/>
        </w:rPr>
        <w:fldChar w:fldCharType="separate"/>
      </w:r>
      <w:r>
        <w:rPr>
          <w:rFonts w:hint="eastAsia" w:ascii="楷体" w:hAnsi="楷体" w:eastAsia="楷体" w:cs="楷体"/>
          <w:sz w:val="32"/>
          <w:szCs w:val="32"/>
          <w:lang w:val="en-US" w:eastAsia="zh-CN"/>
        </w:rPr>
        <w:t>第六章  附    则</w:t>
      </w:r>
      <w:r>
        <w:rPr>
          <w:rFonts w:hint="eastAsia" w:ascii="楷体" w:hAnsi="楷体" w:eastAsia="楷体" w:cs="楷体"/>
          <w:kern w:val="2"/>
          <w:sz w:val="32"/>
          <w:szCs w:val="32"/>
          <w:lang w:val="en-US" w:eastAsia="zh-CN" w:bidi="ar"/>
        </w:rPr>
        <w:fldChar w:fldCharType="end"/>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fldChar w:fldCharType="end"/>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Chars="0" w:right="0" w:rightChars="0"/>
        <w:jc w:val="center"/>
        <w:textAlignment w:val="auto"/>
        <w:outlineLvl w:val="0"/>
        <w:rPr>
          <w:rFonts w:hint="eastAsia"/>
        </w:rPr>
      </w:pPr>
      <w:r>
        <w:rPr>
          <w:rStyle w:val="6"/>
          <w:rFonts w:hint="eastAsia"/>
          <w:lang w:val="en-US" w:eastAsia="zh-CN"/>
        </w:rPr>
        <w:t>第一章</w:t>
      </w:r>
      <w:bookmarkStart w:id="0" w:name="_Toc26789"/>
      <w:bookmarkStart w:id="1" w:name="_Toc2817"/>
      <w:r>
        <w:rPr>
          <w:rStyle w:val="6"/>
          <w:rFonts w:hint="eastAsia"/>
          <w:lang w:val="en-US" w:eastAsia="zh-CN"/>
        </w:rPr>
        <w:t xml:space="preserve">  总    则</w:t>
      </w:r>
      <w:bookmarkEnd w:id="0"/>
      <w:bookmarkEnd w:id="1"/>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第一条 </w:t>
      </w:r>
      <w:r>
        <w:rPr>
          <w:rFonts w:hint="eastAsia" w:ascii="仿宋" w:hAnsi="仿宋" w:eastAsia="仿宋" w:cs="仿宋"/>
          <w:kern w:val="2"/>
          <w:sz w:val="32"/>
          <w:szCs w:val="32"/>
          <w:lang w:val="en-US" w:eastAsia="zh-CN" w:bidi="ar"/>
        </w:rPr>
        <w:t xml:space="preserve"> 为做好法制宣传教育工作，推进依法治市进程，促进我市经济和社会发展，根据宪法和有关法律、法规，结合我市实际，制定本条例。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第二条 </w:t>
      </w:r>
      <w:r>
        <w:rPr>
          <w:rFonts w:hint="eastAsia" w:ascii="仿宋" w:hAnsi="仿宋" w:eastAsia="仿宋" w:cs="仿宋"/>
          <w:kern w:val="2"/>
          <w:sz w:val="32"/>
          <w:szCs w:val="32"/>
          <w:lang w:val="en-US" w:eastAsia="zh-CN" w:bidi="ar"/>
        </w:rPr>
        <w:t xml:space="preserve"> 法制宣传教育通过对社会主义法制理论、法律知识的广泛传播，使公民掌握法律知识，增强法律意识，树立法制观念，做到依法办事，依法维护国家利益、集体利益和自身的合法权益。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第三条</w:t>
      </w:r>
      <w:r>
        <w:rPr>
          <w:rFonts w:hint="eastAsia" w:ascii="仿宋" w:hAnsi="仿宋" w:eastAsia="仿宋" w:cs="仿宋"/>
          <w:kern w:val="2"/>
          <w:sz w:val="32"/>
          <w:szCs w:val="32"/>
          <w:lang w:val="en-US" w:eastAsia="zh-CN" w:bidi="ar"/>
        </w:rPr>
        <w:t xml:space="preserve">  法制宣传教育是全社会的共同职责，接受法制宣传教育是公民依法享有的权利和应尽的义务。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    第四条</w:t>
      </w:r>
      <w:r>
        <w:rPr>
          <w:rFonts w:hint="eastAsia" w:ascii="仿宋" w:hAnsi="仿宋" w:eastAsia="仿宋" w:cs="仿宋"/>
          <w:kern w:val="2"/>
          <w:sz w:val="32"/>
          <w:szCs w:val="32"/>
          <w:lang w:val="en-US" w:eastAsia="zh-CN" w:bidi="ar"/>
        </w:rPr>
        <w:t xml:space="preserve">  法制宣传教育是社会主义民主与法制建设的基础工作，是社会主义精神文明建设和国民教育的重要组成部分，应当统筹规划，有组织地进行。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法制宣传教育工作实行统一领导，分级实施，各负其责的原则。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市、县（区）的司法行政部门是本级人民政府法制宣传教育工作的主管部门。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第五条</w:t>
      </w:r>
      <w:r>
        <w:rPr>
          <w:rFonts w:hint="eastAsia" w:ascii="仿宋" w:hAnsi="仿宋" w:eastAsia="仿宋" w:cs="仿宋"/>
          <w:kern w:val="2"/>
          <w:sz w:val="32"/>
          <w:szCs w:val="32"/>
          <w:lang w:val="en-US" w:eastAsia="zh-CN" w:bidi="ar"/>
        </w:rPr>
        <w:t xml:space="preserve">  本条例适用于本行政区域内的国家机关、社会团体、企业事业单位及其他组织和公民。</w:t>
      </w:r>
    </w:p>
    <w:p>
      <w:pPr>
        <w:pStyle w:val="2"/>
        <w:pageBreakBefore w:val="0"/>
        <w:widowControl w:val="0"/>
        <w:kinsoku/>
        <w:wordWrap/>
        <w:overflowPunct/>
        <w:topLinePunct w:val="0"/>
        <w:autoSpaceDE/>
        <w:autoSpaceDN/>
        <w:bidi w:val="0"/>
        <w:adjustRightInd/>
        <w:snapToGrid/>
        <w:spacing w:line="560" w:lineRule="exact"/>
        <w:textAlignment w:val="auto"/>
        <w:rPr>
          <w:rFonts w:hint="eastAsia"/>
          <w:lang w:val="en-US" w:eastAsia="zh-CN"/>
        </w:rPr>
      </w:pPr>
      <w:bookmarkStart w:id="2" w:name="_Toc28013"/>
      <w:bookmarkStart w:id="3" w:name="_Toc1260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lang w:val="en-US" w:eastAsia="zh-CN"/>
        </w:rPr>
        <w:t>第二章  对象、内容和形式</w:t>
      </w:r>
      <w:bookmarkEnd w:id="2"/>
      <w:bookmarkEnd w:id="3"/>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lang w:val="en-US"/>
        </w:rPr>
      </w:pPr>
      <w:r>
        <w:rPr>
          <w:rFonts w:hint="eastAsia" w:ascii="黑体" w:hAnsi="黑体" w:eastAsia="黑体" w:cs="黑体"/>
          <w:kern w:val="2"/>
          <w:sz w:val="32"/>
          <w:szCs w:val="32"/>
          <w:lang w:val="en-US" w:eastAsia="zh-CN" w:bidi="ar"/>
        </w:rPr>
        <w:t xml:space="preserve">第六条 </w:t>
      </w:r>
      <w:r>
        <w:rPr>
          <w:rFonts w:hint="eastAsia" w:ascii="仿宋" w:hAnsi="仿宋" w:eastAsia="仿宋" w:cs="仿宋"/>
          <w:kern w:val="2"/>
          <w:sz w:val="32"/>
          <w:szCs w:val="32"/>
          <w:lang w:val="en-US" w:eastAsia="zh-CN" w:bidi="ar"/>
        </w:rPr>
        <w:t xml:space="preserve"> 一切有接受教育能力的公民都应当自觉接受法制宣传教育。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开展法制宣传教育应当根据不同时期确定重点对象。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第七条 </w:t>
      </w:r>
      <w:r>
        <w:rPr>
          <w:rFonts w:hint="eastAsia" w:ascii="仿宋" w:hAnsi="仿宋" w:eastAsia="仿宋" w:cs="仿宋"/>
          <w:kern w:val="2"/>
          <w:sz w:val="32"/>
          <w:szCs w:val="32"/>
          <w:lang w:val="en-US" w:eastAsia="zh-CN" w:bidi="ar"/>
        </w:rPr>
        <w:t xml:space="preserve"> 法制宣传教育的主要内容是宪法、基本法律、社会主义市场经济法律知识和同本部门、本单位的工作密切相关的专业法律知识。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第八条</w:t>
      </w:r>
      <w:r>
        <w:rPr>
          <w:rFonts w:hint="eastAsia" w:ascii="仿宋" w:hAnsi="仿宋" w:eastAsia="仿宋" w:cs="仿宋"/>
          <w:kern w:val="2"/>
          <w:sz w:val="32"/>
          <w:szCs w:val="32"/>
          <w:lang w:val="en-US" w:eastAsia="zh-CN" w:bidi="ar"/>
        </w:rPr>
        <w:t xml:space="preserve">  法制宣传教育的形式应当针对不同教育对象的特点和实际来确定。坚持面授教育，倡导自学，发挥传播媒介在法制宣传教育中的作用。</w:t>
      </w:r>
    </w:p>
    <w:p>
      <w:pPr>
        <w:pStyle w:val="2"/>
        <w:pageBreakBefore w:val="0"/>
        <w:widowControl w:val="0"/>
        <w:kinsoku/>
        <w:wordWrap/>
        <w:overflowPunct/>
        <w:topLinePunct w:val="0"/>
        <w:autoSpaceDE/>
        <w:autoSpaceDN/>
        <w:bidi w:val="0"/>
        <w:adjustRightInd/>
        <w:snapToGrid/>
        <w:spacing w:line="560" w:lineRule="exact"/>
        <w:textAlignment w:val="auto"/>
        <w:rPr>
          <w:rFonts w:hint="eastAsia"/>
          <w:lang w:val="en-US" w:eastAsia="zh-CN"/>
        </w:rPr>
      </w:pPr>
      <w:bookmarkStart w:id="4" w:name="_Toc7851"/>
      <w:bookmarkStart w:id="5" w:name="_Toc29903"/>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lang w:val="en-US" w:eastAsia="zh-CN"/>
        </w:rPr>
        <w:t>第三章  组织领导</w:t>
      </w:r>
      <w:bookmarkEnd w:id="4"/>
      <w:bookmarkEnd w:id="5"/>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第九条 </w:t>
      </w:r>
      <w:r>
        <w:rPr>
          <w:rFonts w:hint="eastAsia" w:ascii="仿宋" w:hAnsi="仿宋" w:eastAsia="仿宋" w:cs="仿宋"/>
          <w:kern w:val="2"/>
          <w:sz w:val="32"/>
          <w:szCs w:val="32"/>
          <w:lang w:val="en-US" w:eastAsia="zh-CN" w:bidi="ar"/>
        </w:rPr>
        <w:t xml:space="preserve"> 市、县（区）设立法制宣传教育领导机构，其主要职责是：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（一）贯彻执行有关法制宣传教育的法律、法规、决议、决定及方针政策；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（二）制定法制宣传教育工作规划、计划；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（三）部署、指导本行政区域的法制宣传教育工作，并协调组织实施；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（四）对本行政区域的法制宣传教育工作进行监督、检查、考核、评比、表彰，决定或者建议实施奖励与处罚。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第十条 </w:t>
      </w:r>
      <w:r>
        <w:rPr>
          <w:rFonts w:hint="eastAsia" w:ascii="仿宋" w:hAnsi="仿宋" w:eastAsia="仿宋" w:cs="仿宋"/>
          <w:kern w:val="2"/>
          <w:sz w:val="32"/>
          <w:szCs w:val="32"/>
          <w:lang w:val="en-US" w:eastAsia="zh-CN" w:bidi="ar"/>
        </w:rPr>
        <w:t xml:space="preserve"> 市、县（区）普法办公室设在同级司法行政部门，是同级法制宣传教育领导机构的办事部门，其主要职责是：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（一）调查、掌握各部门、各单位法制宣传教育工作实施情况；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（二）培训法制宣传教育骨干；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（三）会同有关部门对公务员和其他特定人员进行法律知识的培训和考核；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（四）总结和推广法制宣传教育典型经验；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（五）组织编印法制宣传教育资料；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（六）办理法制宣传教育的其他事项。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第十一条</w:t>
      </w:r>
      <w:r>
        <w:rPr>
          <w:rFonts w:hint="eastAsia" w:ascii="仿宋" w:hAnsi="仿宋" w:eastAsia="仿宋" w:cs="仿宋"/>
          <w:kern w:val="2"/>
          <w:sz w:val="32"/>
          <w:szCs w:val="32"/>
          <w:lang w:val="en-US" w:eastAsia="zh-CN" w:bidi="ar"/>
        </w:rPr>
        <w:t xml:space="preserve">  文化、新闻、出版、广播、电视等部门，应当将法制宣传教育列入重要工作内容，充分发挥大众传播媒介的重要作用，开展法制宣传教育。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第十二条 </w:t>
      </w:r>
      <w:r>
        <w:rPr>
          <w:rFonts w:hint="eastAsia" w:ascii="仿宋" w:hAnsi="仿宋" w:eastAsia="仿宋" w:cs="仿宋"/>
          <w:kern w:val="2"/>
          <w:sz w:val="32"/>
          <w:szCs w:val="32"/>
          <w:lang w:val="en-US" w:eastAsia="zh-CN" w:bidi="ar"/>
        </w:rPr>
        <w:t xml:space="preserve"> 工会、共青团、妇联等群众团体应当把法制宣传教育列入工作规划，搞好职工、青少年、妇女和其他特定群体的法制宣传教育。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第十三条 </w:t>
      </w:r>
      <w:r>
        <w:rPr>
          <w:rFonts w:hint="eastAsia" w:ascii="仿宋" w:hAnsi="仿宋" w:eastAsia="仿宋" w:cs="仿宋"/>
          <w:kern w:val="2"/>
          <w:sz w:val="32"/>
          <w:szCs w:val="32"/>
          <w:lang w:val="en-US" w:eastAsia="zh-CN" w:bidi="ar"/>
        </w:rPr>
        <w:t xml:space="preserve"> 各级各类学校应当把法制宣传教育列入教育、教学计划，并负责组织实施。教育行政部门负责监督检查。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各级各类干部培训机构应当把相关法律知识列入教学计划，设置专（兼）职法律教员。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中小学校应当聘请具有一定法律知识和法制工作经验的人员兼任法制副校长，协助学校开展法制宣传教育。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第十四条</w:t>
      </w:r>
      <w:r>
        <w:rPr>
          <w:rFonts w:hint="eastAsia" w:ascii="仿宋" w:hAnsi="仿宋" w:eastAsia="仿宋" w:cs="仿宋"/>
          <w:kern w:val="2"/>
          <w:sz w:val="32"/>
          <w:szCs w:val="32"/>
          <w:lang w:val="en-US" w:eastAsia="zh-CN" w:bidi="ar"/>
        </w:rPr>
        <w:t xml:space="preserve">  组织人事部门应当将法律知识列入领导干部和公务员培训计划，定期对领导干部和公务员进行法律知识考试。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第十五条 </w:t>
      </w:r>
      <w:r>
        <w:rPr>
          <w:rFonts w:hint="eastAsia" w:ascii="仿宋" w:hAnsi="仿宋" w:eastAsia="仿宋" w:cs="仿宋"/>
          <w:kern w:val="2"/>
          <w:sz w:val="32"/>
          <w:szCs w:val="32"/>
          <w:lang w:val="en-US" w:eastAsia="zh-CN" w:bidi="ar"/>
        </w:rPr>
        <w:t xml:space="preserve"> 司法机关、行政执法部门应当组织本单位人员学法用法，提高依法行使公共权力的能力，并结合司法和行政执法活动，向公民宣传相关的法律知识。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第十六条</w:t>
      </w:r>
      <w:r>
        <w:rPr>
          <w:rFonts w:hint="eastAsia" w:ascii="仿宋" w:hAnsi="仿宋" w:eastAsia="仿宋" w:cs="仿宋"/>
          <w:kern w:val="2"/>
          <w:sz w:val="32"/>
          <w:szCs w:val="32"/>
          <w:lang w:val="en-US" w:eastAsia="zh-CN" w:bidi="ar"/>
        </w:rPr>
        <w:t xml:space="preserve">  经济管理部门负责组织所管理的企业事业单位的经营管理人员的法律知识培训。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第十七条</w:t>
      </w:r>
      <w:r>
        <w:rPr>
          <w:rFonts w:hint="eastAsia" w:ascii="仿宋" w:hAnsi="仿宋" w:eastAsia="仿宋" w:cs="仿宋"/>
          <w:kern w:val="2"/>
          <w:sz w:val="32"/>
          <w:szCs w:val="32"/>
          <w:lang w:val="en-US" w:eastAsia="zh-CN" w:bidi="ar"/>
        </w:rPr>
        <w:t xml:space="preserve">  工商行政管理部门负责向私营企业经营者和个体工商户进行经常性的法制宣传教育，开展必要的法律知识培训。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第十八条</w:t>
      </w:r>
      <w:r>
        <w:rPr>
          <w:rFonts w:hint="eastAsia" w:ascii="仿宋" w:hAnsi="仿宋" w:eastAsia="仿宋" w:cs="仿宋"/>
          <w:kern w:val="2"/>
          <w:sz w:val="32"/>
          <w:szCs w:val="32"/>
          <w:lang w:val="en-US" w:eastAsia="zh-CN" w:bidi="ar"/>
        </w:rPr>
        <w:t xml:space="preserve">  公安、劳动和社会保障等部门应当按照各自的职责，加强对流动人口、进城务工人员、失业人员的法制宣传教育。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第十九条</w:t>
      </w:r>
      <w:r>
        <w:rPr>
          <w:rFonts w:hint="eastAsia" w:ascii="仿宋" w:hAnsi="仿宋" w:eastAsia="仿宋" w:cs="仿宋"/>
          <w:kern w:val="2"/>
          <w:sz w:val="32"/>
          <w:szCs w:val="32"/>
          <w:lang w:val="en-US" w:eastAsia="zh-CN" w:bidi="ar"/>
        </w:rPr>
        <w:t xml:space="preserve">  企业事业单位和其他经济组织、群众性自治组织应当指定有关部门或者人员，负责组织实施本单位的法制宣传教育工作。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第二十条 </w:t>
      </w:r>
      <w:r>
        <w:rPr>
          <w:rFonts w:hint="eastAsia" w:ascii="仿宋" w:hAnsi="仿宋" w:eastAsia="仿宋" w:cs="仿宋"/>
          <w:kern w:val="2"/>
          <w:sz w:val="32"/>
          <w:szCs w:val="32"/>
          <w:lang w:val="en-US" w:eastAsia="zh-CN" w:bidi="ar"/>
        </w:rPr>
        <w:t xml:space="preserve"> 村民委员会、居民委员会和社区应当有人员负责法制宣传教育工作，采取多种形式对辖区内的公民进行法制宣传教育。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第二十一条 </w:t>
      </w:r>
      <w:r>
        <w:rPr>
          <w:rFonts w:hint="eastAsia" w:ascii="仿宋" w:hAnsi="仿宋" w:eastAsia="仿宋" w:cs="仿宋"/>
          <w:kern w:val="2"/>
          <w:sz w:val="32"/>
          <w:szCs w:val="32"/>
          <w:lang w:val="en-US" w:eastAsia="zh-CN" w:bidi="ar"/>
        </w:rPr>
        <w:t xml:space="preserve"> 十二月四日全国法制宣传日活动期间，各部门、各单位应当根据法制宣传教育规划开展法制宣传主题活动。</w:t>
      </w:r>
    </w:p>
    <w:p>
      <w:pPr>
        <w:pStyle w:val="2"/>
        <w:pageBreakBefore w:val="0"/>
        <w:widowControl w:val="0"/>
        <w:kinsoku/>
        <w:wordWrap/>
        <w:overflowPunct/>
        <w:topLinePunct w:val="0"/>
        <w:autoSpaceDE/>
        <w:autoSpaceDN/>
        <w:bidi w:val="0"/>
        <w:adjustRightInd/>
        <w:snapToGrid/>
        <w:spacing w:line="560" w:lineRule="exact"/>
        <w:textAlignment w:val="auto"/>
        <w:rPr>
          <w:rFonts w:hint="eastAsia"/>
          <w:lang w:val="en-US" w:eastAsia="zh-CN"/>
        </w:rPr>
      </w:pPr>
      <w:bookmarkStart w:id="6" w:name="_Toc15966"/>
      <w:bookmarkStart w:id="7" w:name="_Toc28785"/>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lang w:val="en-US" w:eastAsia="zh-CN"/>
        </w:rPr>
        <w:t>第四章  保障措施</w:t>
      </w:r>
      <w:bookmarkEnd w:id="6"/>
      <w:bookmarkEnd w:id="7"/>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第二十二条 </w:t>
      </w:r>
      <w:r>
        <w:rPr>
          <w:rFonts w:hint="eastAsia" w:ascii="仿宋" w:hAnsi="仿宋" w:eastAsia="仿宋" w:cs="仿宋"/>
          <w:kern w:val="2"/>
          <w:sz w:val="32"/>
          <w:szCs w:val="32"/>
          <w:lang w:val="en-US" w:eastAsia="zh-CN" w:bidi="ar"/>
        </w:rPr>
        <w:t xml:space="preserve"> 法制宣传教育规划和计划的实施，实行目标责任制，将工作任务层层分解，按年度进行考核。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第二十三条  </w:t>
      </w:r>
      <w:r>
        <w:rPr>
          <w:rFonts w:hint="eastAsia" w:ascii="仿宋" w:hAnsi="仿宋" w:eastAsia="仿宋" w:cs="仿宋"/>
          <w:kern w:val="2"/>
          <w:sz w:val="32"/>
          <w:szCs w:val="32"/>
          <w:lang w:val="en-US" w:eastAsia="zh-CN" w:bidi="ar"/>
        </w:rPr>
        <w:t>法制宣传教育实行考核验收制度。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基本考核标准如下：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（一）国家机关、社会团体、企业事业单位和其他组织，设法制宣传教育组织机构或者配有专人负责，做到法制宣传教育有规划、有制度、有措施、有活动；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（二）公务员熟悉规定学习的法律，经考试、考核合格；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（三）公民了解宪法知识和规定学习的法律常识，经考核合格；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（四）领导带头学法用法，本单位的执法和依法治理工作达到规定要求和考核标准。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具体考核标准，由市法制宣传教育领导机构根据以上规定制订。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第二十四条 </w:t>
      </w:r>
      <w:r>
        <w:rPr>
          <w:rFonts w:hint="eastAsia" w:ascii="仿宋" w:hAnsi="仿宋" w:eastAsia="仿宋" w:cs="仿宋"/>
          <w:kern w:val="2"/>
          <w:sz w:val="32"/>
          <w:szCs w:val="32"/>
          <w:lang w:val="en-US" w:eastAsia="zh-CN" w:bidi="ar"/>
        </w:rPr>
        <w:t xml:space="preserve"> 法制宣传教育考核应当注重行为考核。考核方法包括由主管部门组织的统一考核和本系统、本部门、本单位日常进行的自我考核。各级法制宣传教育领导机构及其办公室也可以直接考核和抽查。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第二十五条 </w:t>
      </w:r>
      <w:r>
        <w:rPr>
          <w:rFonts w:hint="eastAsia" w:ascii="仿宋" w:hAnsi="仿宋" w:eastAsia="仿宋" w:cs="仿宋"/>
          <w:kern w:val="2"/>
          <w:sz w:val="32"/>
          <w:szCs w:val="32"/>
          <w:lang w:val="en-US" w:eastAsia="zh-CN" w:bidi="ar"/>
        </w:rPr>
        <w:t xml:space="preserve"> 未达到法制宣传教育考核验收标准的单位，不得授予精神文明建设先进单位或者综合性荣誉称号。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第二十六条</w:t>
      </w:r>
      <w:r>
        <w:rPr>
          <w:rFonts w:hint="eastAsia" w:ascii="仿宋" w:hAnsi="仿宋" w:eastAsia="仿宋" w:cs="仿宋"/>
          <w:kern w:val="2"/>
          <w:sz w:val="32"/>
          <w:szCs w:val="32"/>
          <w:lang w:val="en-US" w:eastAsia="zh-CN" w:bidi="ar"/>
        </w:rPr>
        <w:t xml:space="preserve">  国家行政机关及法律法规授权的执法组织的公职人员，实行上岗前法律知识培训和持证上岗制度。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第二十七条 </w:t>
      </w:r>
      <w:r>
        <w:rPr>
          <w:rFonts w:hint="eastAsia" w:ascii="仿宋" w:hAnsi="仿宋" w:eastAsia="仿宋" w:cs="仿宋"/>
          <w:kern w:val="2"/>
          <w:sz w:val="32"/>
          <w:szCs w:val="32"/>
          <w:lang w:val="en-US" w:eastAsia="zh-CN" w:bidi="ar"/>
        </w:rPr>
        <w:t xml:space="preserve"> 国家机关、社会团体和国有企业中担任领导职务的人员，实行职位法律素质考核制度。经组织人事部门考核不合格的，不得担任领导职务。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第二十八条 </w:t>
      </w:r>
      <w:r>
        <w:rPr>
          <w:rFonts w:hint="eastAsia" w:ascii="仿宋" w:hAnsi="仿宋" w:eastAsia="仿宋" w:cs="仿宋"/>
          <w:kern w:val="2"/>
          <w:sz w:val="32"/>
          <w:szCs w:val="32"/>
          <w:lang w:val="en-US" w:eastAsia="zh-CN" w:bidi="ar"/>
        </w:rPr>
        <w:t xml:space="preserve"> 国家机关、社会团体、企业事业单位在招工、招干时，应当组织相关法律知识培训和考试、考核。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第二十九条</w:t>
      </w:r>
      <w:r>
        <w:rPr>
          <w:rFonts w:hint="eastAsia" w:ascii="仿宋" w:hAnsi="仿宋" w:eastAsia="仿宋" w:cs="仿宋"/>
          <w:kern w:val="2"/>
          <w:sz w:val="32"/>
          <w:szCs w:val="32"/>
          <w:lang w:val="en-US" w:eastAsia="zh-CN" w:bidi="ar"/>
        </w:rPr>
        <w:t xml:space="preserve">  市、县（区）人民政府设法制宣传教育资金，列入本级财政预算，并逐步增加对法制宣传教育的投入。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kern w:val="2"/>
          <w:sz w:val="32"/>
          <w:szCs w:val="32"/>
          <w:lang w:val="en-US" w:eastAsia="zh-CN" w:bidi="ar"/>
        </w:rPr>
        <w:t>各企业事业单位应当为本单位的法制宣传教育拨付专项经费。</w:t>
      </w:r>
    </w:p>
    <w:p>
      <w:pPr>
        <w:pStyle w:val="2"/>
        <w:pageBreakBefore w:val="0"/>
        <w:widowControl w:val="0"/>
        <w:kinsoku/>
        <w:wordWrap/>
        <w:overflowPunct/>
        <w:topLinePunct w:val="0"/>
        <w:autoSpaceDE/>
        <w:autoSpaceDN/>
        <w:bidi w:val="0"/>
        <w:adjustRightInd/>
        <w:snapToGrid/>
        <w:spacing w:line="560" w:lineRule="exact"/>
        <w:textAlignment w:val="auto"/>
        <w:rPr>
          <w:rFonts w:hint="eastAsia"/>
          <w:lang w:val="en-US" w:eastAsia="zh-CN"/>
        </w:rPr>
      </w:pPr>
      <w:bookmarkStart w:id="8" w:name="_Toc11888"/>
      <w:bookmarkStart w:id="9" w:name="_Toc12025"/>
    </w:p>
    <w:p>
      <w:pPr>
        <w:pStyle w:val="2"/>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Cs w:val="32"/>
        </w:rPr>
      </w:pPr>
      <w:r>
        <w:rPr>
          <w:rFonts w:hint="eastAsia"/>
          <w:lang w:val="en-US" w:eastAsia="zh-CN"/>
        </w:rPr>
        <w:t>第五章  奖励与处罚</w:t>
      </w:r>
      <w:bookmarkEnd w:id="8"/>
      <w:bookmarkEnd w:id="9"/>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 xml:space="preserve">第三十条 </w:t>
      </w:r>
      <w:r>
        <w:rPr>
          <w:rFonts w:hint="eastAsia" w:ascii="仿宋" w:hAnsi="仿宋" w:eastAsia="仿宋" w:cs="仿宋"/>
          <w:kern w:val="2"/>
          <w:sz w:val="32"/>
          <w:szCs w:val="32"/>
          <w:lang w:val="en-US" w:eastAsia="zh-CN" w:bidi="ar"/>
        </w:rPr>
        <w:t xml:space="preserve"> 对法制宣传教育工作成绩显著的单位和个人，由市法制宣传教育领导机构或者有关单位给予表彰和奖励；有突出贡献的，报请有关机关批准，给予记功或者授予荣誉称号。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第三十一条</w:t>
      </w:r>
      <w:r>
        <w:rPr>
          <w:rFonts w:hint="eastAsia" w:ascii="仿宋" w:hAnsi="仿宋" w:eastAsia="仿宋" w:cs="仿宋"/>
          <w:kern w:val="2"/>
          <w:sz w:val="32"/>
          <w:szCs w:val="32"/>
          <w:lang w:val="en-US" w:eastAsia="zh-CN" w:bidi="ar"/>
        </w:rPr>
        <w:t xml:space="preserve">  对不执行本条例或者执行不力的地区、单位、部门，法制宣传教育工作主管部门可以给予批评，责令限期改正。对负有主要责任的人员，按照责任制度的规定予以处罚。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lang w:val="en-US"/>
        </w:rPr>
      </w:pPr>
    </w:p>
    <w:p>
      <w:pPr>
        <w:pStyle w:val="2"/>
        <w:pageBreakBefore w:val="0"/>
        <w:widowControl w:val="0"/>
        <w:kinsoku/>
        <w:wordWrap/>
        <w:overflowPunct/>
        <w:topLinePunct w:val="0"/>
        <w:autoSpaceDE/>
        <w:autoSpaceDN/>
        <w:bidi w:val="0"/>
        <w:adjustRightInd/>
        <w:snapToGrid/>
        <w:spacing w:line="560" w:lineRule="exact"/>
        <w:textAlignment w:val="auto"/>
        <w:rPr>
          <w:rFonts w:hint="eastAsia"/>
          <w:lang w:val="en-US" w:eastAsia="zh-CN"/>
        </w:rPr>
      </w:pPr>
      <w:bookmarkStart w:id="10" w:name="_Toc4555"/>
      <w:bookmarkStart w:id="11" w:name="_Toc29795"/>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lang w:val="en-US" w:eastAsia="zh-CN"/>
        </w:rPr>
        <w:t>第六章  附    则</w:t>
      </w:r>
      <w:bookmarkEnd w:id="10"/>
      <w:bookmarkEnd w:id="11"/>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kern w:val="2"/>
          <w:sz w:val="32"/>
          <w:szCs w:val="32"/>
          <w:lang w:val="en-US" w:eastAsia="zh-CN" w:bidi="ar"/>
        </w:rPr>
        <w:t>第三十二条</w:t>
      </w:r>
      <w:r>
        <w:rPr>
          <w:rFonts w:hint="eastAsia" w:ascii="仿宋" w:hAnsi="仿宋" w:eastAsia="仿宋" w:cs="仿宋"/>
          <w:kern w:val="2"/>
          <w:sz w:val="32"/>
          <w:szCs w:val="32"/>
          <w:lang w:val="en-US" w:eastAsia="zh-CN" w:bidi="ar"/>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9A14100"/>
    <w:rsid w:val="183D115D"/>
    <w:rsid w:val="1DAA7C70"/>
    <w:rsid w:val="20AD34B5"/>
    <w:rsid w:val="23DE1942"/>
    <w:rsid w:val="26E729DF"/>
    <w:rsid w:val="2FC8557C"/>
    <w:rsid w:val="38BE615B"/>
    <w:rsid w:val="40B70648"/>
    <w:rsid w:val="4EA77752"/>
    <w:rsid w:val="504135F2"/>
    <w:rsid w:val="52C81485"/>
    <w:rsid w:val="54F532FC"/>
    <w:rsid w:val="55694734"/>
    <w:rsid w:val="589502BE"/>
    <w:rsid w:val="5D645A25"/>
    <w:rsid w:val="5F7E0093"/>
    <w:rsid w:val="60423BFA"/>
    <w:rsid w:val="60C96326"/>
    <w:rsid w:val="61576FFC"/>
    <w:rsid w:val="6967271B"/>
    <w:rsid w:val="744471EF"/>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character" w:default="1" w:styleId="6">
    <w:name w:val="Default Paragraph Font"/>
    <w:semiHidden/>
    <w:uiPriority w:val="0"/>
  </w:style>
  <w:style w:type="table" w:default="1" w:styleId="7">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