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</w:rPr>
      </w:pPr>
      <w:r>
        <w:rPr>
          <w:rFonts w:hint="eastAsia"/>
        </w:rPr>
        <w:t>桓仁满族自治县水库渔业资源保护管理条例</w:t>
      </w:r>
    </w:p>
    <w:p>
      <w:pPr>
        <w:pStyle w:val="1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</w:p>
    <w:p>
      <w:pPr>
        <w:pStyle w:val="1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（1997年1月20日桓仁满族自治县第二届人民代表大会第五次会议通过1997年4月11日辽宁省第八届人民代表大会常务委员会第二十七次会议批准2006年12月25日桓仁满族自治县第四届人民代表大会第五次会议修订2007年5月25日辽宁省第十届人民代表大会常务委员会第三十一次会议批准2007年7月30日桓仁满族自治县人民代表大会常务委员会公告第1号公布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自公布之日起施行）</w:t>
      </w:r>
    </w:p>
    <w:p>
      <w:pPr>
        <w:pStyle w:val="8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8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目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t>录</w:t>
      </w:r>
    </w:p>
    <w:p>
      <w:pPr>
        <w:pStyle w:val="8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</w:p>
    <w:p>
      <w:pPr>
        <w:pStyle w:val="8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TOC \o "1-1" \n  \h \u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_Toc20924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第一章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2"/>
          <w:szCs w:val="32"/>
        </w:rPr>
        <w:t>总    则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8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_Toc28649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第二章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2"/>
          <w:szCs w:val="32"/>
        </w:rPr>
        <w:t>渔业资源保护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8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_Toc8021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第三章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2"/>
          <w:szCs w:val="32"/>
        </w:rPr>
        <w:t>养殖与管理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8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_Toc24551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第四章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2"/>
          <w:szCs w:val="32"/>
        </w:rPr>
        <w:t>奖励与处罚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8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_Toc11168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第五章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2"/>
          <w:szCs w:val="32"/>
        </w:rPr>
        <w:t>附    则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end"/>
      </w:r>
      <w:bookmarkStart w:id="0" w:name="_Toc20924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总    则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" w:hAnsi="仿宋" w:eastAsia="仿宋" w:cs="仿宋"/>
          <w:sz w:val="32"/>
          <w:szCs w:val="32"/>
        </w:rPr>
        <w:t xml:space="preserve">  为了加强对水库渔业资源的保护、管理和合理开发利用，促进渔业生产的发展，根据《中华人民共和国民族区域自治法》《中华人民共和国渔业法》及有关法律、法规，结合水库渔业资源实际状况，制定本条例。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第二条 </w:t>
      </w:r>
      <w:r>
        <w:rPr>
          <w:rFonts w:hint="eastAsia" w:ascii="仿宋" w:hAnsi="仿宋" w:eastAsia="仿宋" w:cs="仿宋"/>
          <w:sz w:val="32"/>
          <w:szCs w:val="32"/>
        </w:rPr>
        <w:t xml:space="preserve"> 本条例适用于桓仁满族自治县行政区域内各类水库的渔业资源保护、渔业增养殖、水产品捕捞。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" w:hAnsi="仿宋" w:eastAsia="仿宋" w:cs="仿宋"/>
          <w:sz w:val="32"/>
          <w:szCs w:val="32"/>
        </w:rPr>
        <w:t xml:space="preserve">  自治县渔业行政主管部门负责水库渔业资源保护和管理工作。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自治县公安、工商、环保、交通等有关部门，按照职责分工，配合渔业行政主管部门，依照国家法律、法规和本条例的规定，加强对水库渔业资源的保护管理。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" w:hAnsi="仿宋" w:eastAsia="仿宋" w:cs="仿宋"/>
          <w:sz w:val="32"/>
          <w:szCs w:val="32"/>
        </w:rPr>
        <w:t xml:space="preserve">  自治县人民政府应制定水库渔业资源保护、发展规划。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" w:hAnsi="仿宋" w:eastAsia="仿宋" w:cs="仿宋"/>
          <w:sz w:val="32"/>
          <w:szCs w:val="32"/>
        </w:rPr>
        <w:t xml:space="preserve">  水库渔业生产单位，可根据需要建立群众性护渔管理组织，在自治县渔业行政主管部门的指导下，依法开展护渔管理工作。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1" w:name="_Toc28649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渔业资源保护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第六条 </w:t>
      </w:r>
      <w:r>
        <w:rPr>
          <w:rFonts w:hint="eastAsia" w:ascii="仿宋" w:hAnsi="仿宋" w:eastAsia="仿宋" w:cs="仿宋"/>
          <w:sz w:val="32"/>
          <w:szCs w:val="32"/>
        </w:rPr>
        <w:t xml:space="preserve"> 在大中型水库内从事渔业捕捞的单位和个人，必须持有自治县渔业行政主管部门核发的区域性渔业《捕捞许可证》，在限定的水域和限定的时间内，按照规定的品种、规格进行捕捞，并按规定缴纳渔业资源增殖保护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《捕捞许可证》不得涂改、买卖、出租或以其他形式非法转让。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" w:hAnsi="仿宋" w:eastAsia="仿宋" w:cs="仿宋"/>
          <w:sz w:val="32"/>
          <w:szCs w:val="32"/>
        </w:rPr>
        <w:t xml:space="preserve">  严禁在水库鱼洄游通道上设置拦截设施拦捕幼鱼和产卵洄游的亲体；严禁利用敲鼓作业等方式捕捞水产品。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" w:hAnsi="仿宋" w:eastAsia="仿宋" w:cs="仿宋"/>
          <w:sz w:val="32"/>
          <w:szCs w:val="32"/>
        </w:rPr>
        <w:t xml:space="preserve">  自治县渔业行政主管部门根据不同水库的实际情况，确定禁渔期和禁渔区。禁渔期每年不得少于五十天。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活水区为自然鱼产卵场，为确保自然鱼的繁殖，禁渔期内除允许定置网箔继续生产作业外，其他捕捞一律停止作业。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" w:hAnsi="仿宋" w:eastAsia="仿宋" w:cs="仿宋"/>
          <w:sz w:val="32"/>
          <w:szCs w:val="32"/>
        </w:rPr>
        <w:t xml:space="preserve">  大中型水库内鱼类的捕捞工具及网目尺寸，由自治县渔业行政主管部门确定。捕捞中的幼鱼裹获率，不得超过总捕捞量的5％。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" w:hAnsi="仿宋" w:eastAsia="仿宋" w:cs="仿宋"/>
          <w:sz w:val="32"/>
          <w:szCs w:val="32"/>
        </w:rPr>
        <w:t xml:space="preserve">  任何单位和个人，不得进入增养殖区偷窃和抢夺水产品，不得在增养殖区域内从事危害水产品增养殖的作业。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" w:hAnsi="仿宋" w:eastAsia="仿宋" w:cs="仿宋"/>
          <w:sz w:val="32"/>
          <w:szCs w:val="32"/>
        </w:rPr>
        <w:t xml:space="preserve">  严禁炸鱼、毒鱼、电鱼、鱼鹰捕鱼和其他形式非法捕鱼。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2" w:name="_Toc8021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养殖与管理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" w:hAnsi="仿宋" w:eastAsia="仿宋" w:cs="仿宋"/>
          <w:sz w:val="32"/>
          <w:szCs w:val="32"/>
        </w:rPr>
        <w:t xml:space="preserve">  自治县渔业行政主管部门，应采取有效措施，推广科技成果，支持养殖单位和个人引进名优特新品种，保护原生优良品种和原产地濒临灭绝的品种，提高增养殖技术水平和水产品的产量、质量。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第十三条 </w:t>
      </w:r>
      <w:r>
        <w:rPr>
          <w:rFonts w:hint="eastAsia" w:ascii="仿宋" w:hAnsi="仿宋" w:eastAsia="仿宋" w:cs="仿宋"/>
          <w:sz w:val="32"/>
          <w:szCs w:val="32"/>
        </w:rPr>
        <w:t xml:space="preserve"> 大中型水库的渔业生产单位和个人，必须按自治县的渔业发展规划投放种苗，确保水库渔业资源的增殖。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" w:hAnsi="仿宋" w:eastAsia="仿宋" w:cs="仿宋"/>
          <w:sz w:val="32"/>
          <w:szCs w:val="32"/>
        </w:rPr>
        <w:t xml:space="preserve">  自治县从省域内引进水产品种，须经自治县渔业行政主管部门批准。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" w:hAnsi="仿宋" w:eastAsia="仿宋" w:cs="仿宋"/>
          <w:sz w:val="32"/>
          <w:szCs w:val="32"/>
        </w:rPr>
        <w:t xml:space="preserve">  从事增养殖的单位和个人，应报请自治县渔业行政主管部门审核批准，领取《养殖证》，在审批划定的水域内按照无公害水产养殖标准进行养殖生产。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" w:hAnsi="仿宋" w:eastAsia="仿宋" w:cs="仿宋"/>
          <w:sz w:val="32"/>
          <w:szCs w:val="32"/>
        </w:rPr>
        <w:t xml:space="preserve">  水库各类船只，必须持有自治县交通部门核发的《船舶准航证》，并接受渔政和水上公安人员的监督检查。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" w:hAnsi="仿宋" w:eastAsia="仿宋" w:cs="仿宋"/>
          <w:sz w:val="32"/>
          <w:szCs w:val="32"/>
        </w:rPr>
        <w:t xml:space="preserve">  水库水质按国家地面水环境质量第Ⅱ类标准保护和管理。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直接或间接向水库排放污染物的单位和个人经营者，必须严格遵守国家和地方水污染排放标准。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水库内从事旅游业的单位和个体经营者，对经营中产生的废弃物，要集中处理，不准抛入水中。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3" w:name="_Toc24551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奖励与处罚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第十八条 </w:t>
      </w:r>
      <w:r>
        <w:rPr>
          <w:rFonts w:hint="eastAsia" w:ascii="仿宋" w:hAnsi="仿宋" w:eastAsia="仿宋" w:cs="仿宋"/>
          <w:sz w:val="32"/>
          <w:szCs w:val="32"/>
        </w:rPr>
        <w:t xml:space="preserve"> 对贯彻执行本条例，在水库渔业资源保护管理工作中做出显著成绩的单位和个人，由渔业行政主管部门报请自治县人民政府给予表彰奖励。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第十九条 </w:t>
      </w:r>
      <w:r>
        <w:rPr>
          <w:rFonts w:hint="eastAsia" w:ascii="仿宋" w:hAnsi="仿宋" w:eastAsia="仿宋" w:cs="仿宋"/>
          <w:sz w:val="32"/>
          <w:szCs w:val="32"/>
        </w:rPr>
        <w:t xml:space="preserve"> 违反本条例规定给予下列处罚：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违反本条例第六条规定，可以处1000元至10000元罚款，没收渔获物和违法所得；未依法取得《捕捞许可证》擅自进行捕捞，情节严重的，并处没收渔具和渔船；违反《捕捞许可证》关于作业类型、场所、时限和渔具数量的规定进行捕捞，情节严重的，并处没收渔具，吊销《捕捞许可证》；涂改、买卖、出租，或以其他形式非法转让《捕捞许可证》的，吊销《捕捞许可证》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（二）违反本条例第七条规定的，责令改正，没收渔获物和违法所得，并处1000元至10000元罚款。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违反本条例第八条、第九条、第十一条规定的，没收渔获物和违法所得，非机动船并处500元至3000元罚款，机动船并处1000元至5000元罚款；情节严重的，没收渔具，吊销许可证；情节特别严重的，没收渔船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（四）违反本条例第十条规定的，没收违法所得，依法承担赔偿责任，并可以处造成损失3至5倍罚款；构成犯罪的依法追究刑事责任。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（五）违反本条例第十三条规定的，吊销《养殖证》；造成损失的，承担赔偿责任。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（六）违反本条例第十四条规定的，责令改正，没收苗种和违法所得，并处5000元至20000元罚款。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七）违反本条例第十五条规定，未领取《养殖证》的，限期补办，逾期不补办的，处2000元至5000元罚款；未按照无公害水产养殖标准进行养殖生产的，责令限期改正，逾期不改正的，吊销《养殖证》，并处10000元至20000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第二十条  </w:t>
      </w:r>
      <w:r>
        <w:rPr>
          <w:rFonts w:hint="eastAsia" w:ascii="仿宋" w:hAnsi="仿宋" w:eastAsia="仿宋" w:cs="仿宋"/>
          <w:sz w:val="32"/>
          <w:szCs w:val="32"/>
        </w:rPr>
        <w:t>违反本条例规定，涉及公安、工商、环保、交通、渔业行政主管部门，</w:t>
      </w:r>
      <w:bookmarkStart w:id="5" w:name="_GoBack"/>
      <w:bookmarkEnd w:id="5"/>
      <w:r>
        <w:rPr>
          <w:rFonts w:hint="eastAsia" w:ascii="仿宋" w:hAnsi="仿宋" w:eastAsia="仿宋" w:cs="仿宋"/>
          <w:sz w:val="32"/>
          <w:szCs w:val="32"/>
        </w:rPr>
        <w:t>由上述部门按照有关规定予以处罚。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第二十一条</w:t>
      </w:r>
      <w:r>
        <w:rPr>
          <w:rFonts w:hint="eastAsia" w:ascii="仿宋" w:hAnsi="仿宋" w:eastAsia="仿宋" w:cs="仿宋"/>
          <w:sz w:val="32"/>
          <w:szCs w:val="32"/>
        </w:rPr>
        <w:t xml:space="preserve">  对拒绝、阻碍行政管理人员依法执行公务的，依据《中华人民共和国治安管理处罚法》予以处罚。构成犯罪的，依法追究刑事责任。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第二十二条 </w:t>
      </w:r>
      <w:r>
        <w:rPr>
          <w:rFonts w:hint="eastAsia" w:ascii="仿宋" w:hAnsi="仿宋" w:eastAsia="仿宋" w:cs="仿宋"/>
          <w:sz w:val="32"/>
          <w:szCs w:val="32"/>
        </w:rPr>
        <w:t xml:space="preserve"> 实施行政处罚应下达处罚决定书，实施罚没款处罚应使用财政部门印制的专用票据。罚没款到指定银行缴纳。没收的物资，按国家有关规定处理。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第二十三条</w:t>
      </w:r>
      <w:r>
        <w:rPr>
          <w:rFonts w:hint="eastAsia" w:ascii="仿宋" w:hAnsi="仿宋" w:eastAsia="仿宋" w:cs="仿宋"/>
          <w:sz w:val="32"/>
          <w:szCs w:val="32"/>
        </w:rPr>
        <w:t xml:space="preserve">  执法人员滥用职权、玩忽职守、徇私枉法的，由所在单位或上级主管部门给予行政处分，构成犯罪的，依法追究刑事责任。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第二十四条  </w:t>
      </w:r>
      <w:r>
        <w:rPr>
          <w:rFonts w:hint="eastAsia" w:ascii="仿宋" w:hAnsi="仿宋" w:eastAsia="仿宋" w:cs="仿宋"/>
          <w:sz w:val="32"/>
          <w:szCs w:val="32"/>
        </w:rPr>
        <w:t>当事人对行政处罚决定不服的，按《中华人民共和国行政处罚法》有关规定执行。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4" w:name="_Toc11168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附    则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第二十五条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本条例应用中的具体问题，由自治县人民代表大会常务委员会负责解释。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第二十六条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720" w:footer="720" w:gutter="0"/>
      <w:pgNumType w:fmt="decimal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420" w:leftChars="20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420" w:leftChars="20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45A25"/>
    <w:rsid w:val="00657235"/>
    <w:rsid w:val="019507E1"/>
    <w:rsid w:val="03101B00"/>
    <w:rsid w:val="038507CF"/>
    <w:rsid w:val="03F621EB"/>
    <w:rsid w:val="04A85603"/>
    <w:rsid w:val="061727BB"/>
    <w:rsid w:val="06A224FA"/>
    <w:rsid w:val="07103D07"/>
    <w:rsid w:val="096D37B7"/>
    <w:rsid w:val="0B7B7CC5"/>
    <w:rsid w:val="0B8F645A"/>
    <w:rsid w:val="0CBB6B9F"/>
    <w:rsid w:val="0D604CEF"/>
    <w:rsid w:val="0FC44DD1"/>
    <w:rsid w:val="10C73E3E"/>
    <w:rsid w:val="11111476"/>
    <w:rsid w:val="117E4031"/>
    <w:rsid w:val="119E5D5B"/>
    <w:rsid w:val="11B33B52"/>
    <w:rsid w:val="1428757A"/>
    <w:rsid w:val="15F50CD9"/>
    <w:rsid w:val="16EF1387"/>
    <w:rsid w:val="17930C2B"/>
    <w:rsid w:val="183C3588"/>
    <w:rsid w:val="183D115D"/>
    <w:rsid w:val="18F47F47"/>
    <w:rsid w:val="19C11B03"/>
    <w:rsid w:val="1B4120DC"/>
    <w:rsid w:val="1BC72442"/>
    <w:rsid w:val="1C2C59E4"/>
    <w:rsid w:val="1C8369A3"/>
    <w:rsid w:val="1CE66C1D"/>
    <w:rsid w:val="1DAA7C70"/>
    <w:rsid w:val="1DDB73C2"/>
    <w:rsid w:val="1F341199"/>
    <w:rsid w:val="21E65327"/>
    <w:rsid w:val="22284B2C"/>
    <w:rsid w:val="22433F6E"/>
    <w:rsid w:val="235C5AAC"/>
    <w:rsid w:val="23DE1942"/>
    <w:rsid w:val="25E2161E"/>
    <w:rsid w:val="2643212B"/>
    <w:rsid w:val="26E729DF"/>
    <w:rsid w:val="274058DB"/>
    <w:rsid w:val="27983254"/>
    <w:rsid w:val="28A50E95"/>
    <w:rsid w:val="29E5555E"/>
    <w:rsid w:val="2A0B3AA7"/>
    <w:rsid w:val="2CD606A8"/>
    <w:rsid w:val="2D0E3ADF"/>
    <w:rsid w:val="2D73303C"/>
    <w:rsid w:val="2E6676E5"/>
    <w:rsid w:val="2FA31AAA"/>
    <w:rsid w:val="2FC8557C"/>
    <w:rsid w:val="31A61F8B"/>
    <w:rsid w:val="324A37E6"/>
    <w:rsid w:val="327B2452"/>
    <w:rsid w:val="32C21DA7"/>
    <w:rsid w:val="339C4F83"/>
    <w:rsid w:val="34EC6A74"/>
    <w:rsid w:val="38BE615B"/>
    <w:rsid w:val="3AE06609"/>
    <w:rsid w:val="3B262063"/>
    <w:rsid w:val="3B2B0E6A"/>
    <w:rsid w:val="3CDD4865"/>
    <w:rsid w:val="3D550FE6"/>
    <w:rsid w:val="3F3418A9"/>
    <w:rsid w:val="40AE3FC7"/>
    <w:rsid w:val="42397DAB"/>
    <w:rsid w:val="437901A6"/>
    <w:rsid w:val="4383125A"/>
    <w:rsid w:val="45755F4E"/>
    <w:rsid w:val="45F64FAB"/>
    <w:rsid w:val="45F74D0D"/>
    <w:rsid w:val="48072744"/>
    <w:rsid w:val="480F7B50"/>
    <w:rsid w:val="488611B4"/>
    <w:rsid w:val="49270C46"/>
    <w:rsid w:val="49A047A8"/>
    <w:rsid w:val="49C95066"/>
    <w:rsid w:val="4E0747D7"/>
    <w:rsid w:val="4EA77752"/>
    <w:rsid w:val="504135F2"/>
    <w:rsid w:val="51495204"/>
    <w:rsid w:val="51AB76A6"/>
    <w:rsid w:val="529A7A4C"/>
    <w:rsid w:val="52C81485"/>
    <w:rsid w:val="53063CF0"/>
    <w:rsid w:val="54913A14"/>
    <w:rsid w:val="55694734"/>
    <w:rsid w:val="589502BE"/>
    <w:rsid w:val="5B165E0B"/>
    <w:rsid w:val="5B902342"/>
    <w:rsid w:val="5C842715"/>
    <w:rsid w:val="5D645A25"/>
    <w:rsid w:val="5E145884"/>
    <w:rsid w:val="5ED76853"/>
    <w:rsid w:val="5F105B5B"/>
    <w:rsid w:val="5F7E0093"/>
    <w:rsid w:val="5FC30292"/>
    <w:rsid w:val="60423BFA"/>
    <w:rsid w:val="60C96326"/>
    <w:rsid w:val="61C62213"/>
    <w:rsid w:val="626608CF"/>
    <w:rsid w:val="62867007"/>
    <w:rsid w:val="63C85697"/>
    <w:rsid w:val="63EC2FBA"/>
    <w:rsid w:val="65585C9C"/>
    <w:rsid w:val="67187CB0"/>
    <w:rsid w:val="674E5E60"/>
    <w:rsid w:val="686F4CB7"/>
    <w:rsid w:val="69D71A1A"/>
    <w:rsid w:val="6B863C80"/>
    <w:rsid w:val="6BAD38B5"/>
    <w:rsid w:val="6CB45FC4"/>
    <w:rsid w:val="6CEC328A"/>
    <w:rsid w:val="6D1576FC"/>
    <w:rsid w:val="70E2771A"/>
    <w:rsid w:val="717376A1"/>
    <w:rsid w:val="71A67F1B"/>
    <w:rsid w:val="71D11E6A"/>
    <w:rsid w:val="72BD2DA7"/>
    <w:rsid w:val="7399452D"/>
    <w:rsid w:val="73DB2B17"/>
    <w:rsid w:val="744471EF"/>
    <w:rsid w:val="7549098E"/>
    <w:rsid w:val="785664BF"/>
    <w:rsid w:val="79862DEA"/>
    <w:rsid w:val="7B3402FE"/>
    <w:rsid w:val="7B8743F2"/>
    <w:rsid w:val="7C635EFB"/>
    <w:rsid w:val="7CFD0985"/>
    <w:rsid w:val="7CFD4A35"/>
    <w:rsid w:val="7D0A510C"/>
    <w:rsid w:val="7E2F09B9"/>
    <w:rsid w:val="7ED520D5"/>
    <w:rsid w:val="7F9416F1"/>
    <w:rsid w:val="7FFE1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宋体"/>
      <w:sz w:val="4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560" w:lineRule="exact"/>
      <w:jc w:val="center"/>
      <w:outlineLvl w:val="2"/>
    </w:pPr>
    <w:rPr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  <w:pPr>
      <w:spacing w:line="560" w:lineRule="exact"/>
      <w:ind w:firstLine="640" w:firstLineChars="200"/>
    </w:pPr>
    <w:rPr>
      <w:rFonts w:eastAsia="楷体"/>
      <w:sz w:val="32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题注000"/>
    <w:basedOn w:val="1"/>
    <w:link w:val="14"/>
    <w:qFormat/>
    <w:uiPriority w:val="0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3">
    <w:name w:val="目录0000"/>
    <w:basedOn w:val="8"/>
    <w:qFormat/>
    <w:uiPriority w:val="0"/>
  </w:style>
  <w:style w:type="character" w:customStyle="1" w:styleId="14">
    <w:name w:val="题注000 Char"/>
    <w:link w:val="12"/>
    <w:qFormat/>
    <w:uiPriority w:val="0"/>
    <w:rPr>
      <w:rFonts w:eastAsia="楷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2017-02-10T06:41:00Z</dcterms:created>
  <dc:creator>Administrator</dc:creator>
  <cp:lastModifiedBy>咿呀@丫丫</cp:lastModifiedBy>
  <dcterms:modified xsi:type="dcterms:W3CDTF">2020-08-15T04:09:25Z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