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Lines="0" w:afterLines="0" w:line="560" w:lineRule="exact"/>
        <w:ind w:left="0" w:leftChars="0" w:right="0" w:rightChars="0" w:firstLine="0" w:firstLineChars="0"/>
        <w:jc w:val="center"/>
        <w:textAlignment w:val="auto"/>
        <w:outlineLvl w:val="2"/>
        <w:rPr>
          <w:rFonts w:hint="eastAsia"/>
        </w:rPr>
      </w:pPr>
    </w:p>
    <w:p>
      <w:pPr>
        <w:pStyle w:val="4"/>
        <w:keepNext/>
        <w:keepLines/>
        <w:pageBreakBefore w:val="0"/>
        <w:widowControl w:val="0"/>
        <w:kinsoku/>
        <w:wordWrap/>
        <w:overflowPunct/>
        <w:topLinePunct w:val="0"/>
        <w:autoSpaceDE/>
        <w:autoSpaceDN/>
        <w:bidi w:val="0"/>
        <w:adjustRightInd/>
        <w:snapToGrid/>
        <w:spacing w:beforeLines="0" w:afterLines="0" w:line="560" w:lineRule="exact"/>
        <w:ind w:left="0" w:leftChars="0" w:right="0" w:rightChars="0" w:firstLine="0" w:firstLineChars="0"/>
        <w:jc w:val="center"/>
        <w:textAlignment w:val="auto"/>
        <w:outlineLvl w:val="2"/>
        <w:rPr>
          <w:rFonts w:hint="eastAsia"/>
        </w:rPr>
      </w:pPr>
    </w:p>
    <w:p>
      <w:pPr>
        <w:pStyle w:val="4"/>
        <w:keepNext/>
        <w:keepLines/>
        <w:pageBreakBefore w:val="0"/>
        <w:widowControl w:val="0"/>
        <w:kinsoku/>
        <w:wordWrap/>
        <w:overflowPunct/>
        <w:topLinePunct w:val="0"/>
        <w:autoSpaceDE/>
        <w:autoSpaceDN/>
        <w:bidi w:val="0"/>
        <w:adjustRightInd/>
        <w:snapToGrid/>
        <w:spacing w:beforeLines="0" w:afterLines="0" w:line="560" w:lineRule="exact"/>
        <w:ind w:left="0" w:leftChars="0" w:right="0" w:rightChars="0" w:firstLine="0" w:firstLineChars="0"/>
        <w:jc w:val="center"/>
        <w:textAlignment w:val="auto"/>
        <w:outlineLvl w:val="2"/>
      </w:pPr>
      <w:r>
        <w:rPr>
          <w:rFonts w:hint="eastAsia"/>
        </w:rPr>
        <w:t>沈阳市建设工程监理条例</w:t>
      </w:r>
    </w:p>
    <w:p>
      <w:pPr>
        <w:pStyle w:val="7"/>
        <w:rPr>
          <w:rFonts w:hint="eastAsia"/>
        </w:rPr>
      </w:pPr>
    </w:p>
    <w:p>
      <w:pPr>
        <w:pStyle w:val="7"/>
      </w:pPr>
      <w:bookmarkStart w:id="6" w:name="_GoBack"/>
      <w:bookmarkEnd w:id="6"/>
      <w:r>
        <w:rPr>
          <w:rFonts w:hint="eastAsia"/>
        </w:rPr>
        <w:t>（2001年11月23日沈阳市第十二届人民代表大会常务委员会第三十一次会议通过  2002年1月31日辽宁省第九届人民代表大会常务委员会第二十八次会议批准  根据2006年4月27日沈阳市第十三届人民代表大会常务委员会第二十九次会议通过  2006年5月26日辽宁省第十届人民代表大会常务委员会第二十五次会议批准《关于修改〈沈阳市建设工程监理条例〉的决定》修正）</w:t>
      </w:r>
    </w:p>
    <w:p>
      <w:pPr>
        <w:spacing w:line="560" w:lineRule="exact"/>
        <w:ind w:firstLine="640" w:firstLineChars="200"/>
        <w:rPr>
          <w:rFonts w:ascii="楷体" w:hAnsi="楷体" w:eastAsia="楷体" w:cs="楷体"/>
          <w:sz w:val="32"/>
          <w:szCs w:val="32"/>
        </w:rPr>
      </w:pPr>
    </w:p>
    <w:p>
      <w:pPr>
        <w:spacing w:line="560" w:lineRule="exact"/>
        <w:jc w:val="center"/>
        <w:rPr>
          <w:rFonts w:ascii="楷体" w:hAnsi="楷体" w:eastAsia="楷体" w:cs="楷体"/>
          <w:sz w:val="32"/>
          <w:szCs w:val="32"/>
        </w:rPr>
      </w:pPr>
      <w:r>
        <w:rPr>
          <w:rFonts w:hint="eastAsia" w:ascii="楷体" w:hAnsi="楷体" w:eastAsia="楷体" w:cs="楷体"/>
          <w:sz w:val="32"/>
          <w:szCs w:val="32"/>
        </w:rPr>
        <w:t>目    录</w:t>
      </w:r>
    </w:p>
    <w:p>
      <w:pPr>
        <w:spacing w:line="560" w:lineRule="exact"/>
        <w:jc w:val="center"/>
        <w:rPr>
          <w:rFonts w:ascii="楷体" w:hAnsi="楷体" w:eastAsia="楷体" w:cs="楷体"/>
          <w:sz w:val="32"/>
          <w:szCs w:val="32"/>
        </w:rPr>
      </w:pPr>
    </w:p>
    <w:p>
      <w:pPr>
        <w:pStyle w:val="10"/>
        <w:ind w:firstLine="640"/>
      </w:pPr>
      <w:r>
        <w:rPr>
          <w:rFonts w:hint="eastAsia"/>
        </w:rPr>
        <w:fldChar w:fldCharType="begin"/>
      </w:r>
      <w:r>
        <w:rPr>
          <w:rFonts w:hint="eastAsia"/>
        </w:rPr>
        <w:instrText xml:space="preserve">TOC \o "1-1" \n  \h \u </w:instrText>
      </w:r>
      <w:r>
        <w:rPr>
          <w:rFonts w:hint="eastAsia"/>
        </w:rPr>
        <w:fldChar w:fldCharType="separate"/>
      </w:r>
      <w:r>
        <w:fldChar w:fldCharType="begin"/>
      </w:r>
      <w:r>
        <w:instrText xml:space="preserve"> HYPERLINK \l "_Toc15915" </w:instrText>
      </w:r>
      <w:r>
        <w:fldChar w:fldCharType="separate"/>
      </w:r>
      <w:r>
        <w:rPr>
          <w:rFonts w:hint="eastAsia"/>
        </w:rPr>
        <w:t>第一章  总    则</w:t>
      </w:r>
      <w:r>
        <w:rPr>
          <w:rFonts w:hint="eastAsia"/>
        </w:rPr>
        <w:fldChar w:fldCharType="end"/>
      </w:r>
    </w:p>
    <w:p>
      <w:pPr>
        <w:pStyle w:val="10"/>
        <w:ind w:firstLine="640"/>
      </w:pPr>
      <w:r>
        <w:fldChar w:fldCharType="begin"/>
      </w:r>
      <w:r>
        <w:instrText xml:space="preserve"> HYPERLINK \l "_Toc31837" </w:instrText>
      </w:r>
      <w:r>
        <w:fldChar w:fldCharType="separate"/>
      </w:r>
      <w:r>
        <w:rPr>
          <w:rFonts w:hint="eastAsia"/>
        </w:rPr>
        <w:t>第二章  监理单位和监理工程师</w:t>
      </w:r>
      <w:r>
        <w:rPr>
          <w:rFonts w:hint="eastAsia"/>
        </w:rPr>
        <w:fldChar w:fldCharType="end"/>
      </w:r>
    </w:p>
    <w:p>
      <w:pPr>
        <w:pStyle w:val="10"/>
        <w:ind w:firstLine="640"/>
      </w:pPr>
      <w:r>
        <w:fldChar w:fldCharType="begin"/>
      </w:r>
      <w:r>
        <w:instrText xml:space="preserve"> HYPERLINK \l "_Toc21946" </w:instrText>
      </w:r>
      <w:r>
        <w:fldChar w:fldCharType="separate"/>
      </w:r>
      <w:r>
        <w:rPr>
          <w:rFonts w:hint="eastAsia"/>
        </w:rPr>
        <w:t>第三章  监理的范围和内容</w:t>
      </w:r>
      <w:r>
        <w:rPr>
          <w:rFonts w:hint="eastAsia"/>
        </w:rPr>
        <w:fldChar w:fldCharType="end"/>
      </w:r>
    </w:p>
    <w:p>
      <w:pPr>
        <w:pStyle w:val="10"/>
        <w:ind w:firstLine="640"/>
      </w:pPr>
      <w:r>
        <w:fldChar w:fldCharType="begin"/>
      </w:r>
      <w:r>
        <w:instrText xml:space="preserve"> HYPERLINK \l "_Toc13946" </w:instrText>
      </w:r>
      <w:r>
        <w:fldChar w:fldCharType="separate"/>
      </w:r>
      <w:r>
        <w:rPr>
          <w:rFonts w:hint="eastAsia"/>
        </w:rPr>
        <w:t>第四章  监理的实施</w:t>
      </w:r>
      <w:r>
        <w:rPr>
          <w:rFonts w:hint="eastAsia"/>
        </w:rPr>
        <w:fldChar w:fldCharType="end"/>
      </w:r>
    </w:p>
    <w:p>
      <w:pPr>
        <w:pStyle w:val="10"/>
        <w:ind w:firstLine="640"/>
      </w:pPr>
      <w:r>
        <w:fldChar w:fldCharType="begin"/>
      </w:r>
      <w:r>
        <w:instrText xml:space="preserve"> HYPERLINK \l "_Toc5024" </w:instrText>
      </w:r>
      <w:r>
        <w:fldChar w:fldCharType="separate"/>
      </w:r>
      <w:r>
        <w:rPr>
          <w:rFonts w:hint="eastAsia"/>
        </w:rPr>
        <w:t>第五章  法律责任</w:t>
      </w:r>
      <w:r>
        <w:rPr>
          <w:rFonts w:hint="eastAsia"/>
        </w:rPr>
        <w:fldChar w:fldCharType="end"/>
      </w:r>
    </w:p>
    <w:p>
      <w:pPr>
        <w:pStyle w:val="10"/>
        <w:ind w:firstLine="640"/>
      </w:pPr>
      <w:r>
        <w:fldChar w:fldCharType="begin"/>
      </w:r>
      <w:r>
        <w:instrText xml:space="preserve"> HYPERLINK \l "_Toc27694" </w:instrText>
      </w:r>
      <w:r>
        <w:fldChar w:fldCharType="separate"/>
      </w:r>
      <w:r>
        <w:rPr>
          <w:rFonts w:hint="eastAsia"/>
        </w:rPr>
        <w:t>第六章  附    则</w:t>
      </w:r>
      <w:r>
        <w:rPr>
          <w:rFonts w:hint="eastAsia"/>
        </w:rPr>
        <w:fldChar w:fldCharType="end"/>
      </w:r>
    </w:p>
    <w:p>
      <w:pPr>
        <w:pStyle w:val="10"/>
        <w:ind w:firstLine="640"/>
        <w:rPr>
          <w:rFonts w:ascii="楷体" w:hAnsi="楷体" w:cs="楷体"/>
          <w:szCs w:val="32"/>
        </w:rPr>
      </w:pPr>
      <w:r>
        <w:rPr>
          <w:rFonts w:hint="eastAsia"/>
        </w:rPr>
        <w:fldChar w:fldCharType="end"/>
      </w:r>
    </w:p>
    <w:p>
      <w:pPr>
        <w:pStyle w:val="2"/>
      </w:pPr>
      <w:bookmarkStart w:id="0" w:name="_Toc15915"/>
      <w:r>
        <w:rPr>
          <w:rFonts w:hint="eastAsia"/>
        </w:rPr>
        <w:t>第一章  总    则</w:t>
      </w:r>
      <w:bookmarkEnd w:id="0"/>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 xml:space="preserve">第一条  </w:t>
      </w:r>
      <w:r>
        <w:rPr>
          <w:rFonts w:hint="eastAsia" w:ascii="仿宋" w:hAnsi="仿宋" w:eastAsia="仿宋" w:cs="仿宋"/>
          <w:sz w:val="32"/>
          <w:szCs w:val="32"/>
        </w:rPr>
        <w:t>为了确保建设工程质量，规范建设工程监理活动，提高工程建设的投资效益和社会效益，根据《中华人民共和国建筑法》和有关法律、法规的规定，结合本市实际，制定本条例。</w:t>
      </w:r>
    </w:p>
    <w:p>
      <w:pPr>
        <w:spacing w:line="560" w:lineRule="exact"/>
        <w:ind w:firstLine="640" w:firstLineChars="200"/>
        <w:rPr>
          <w:rFonts w:ascii="仿宋" w:hAnsi="仿宋" w:eastAsia="仿宋" w:cs="仿宋"/>
          <w:sz w:val="32"/>
          <w:szCs w:val="32"/>
        </w:rPr>
      </w:pPr>
      <w:r>
        <w:rPr>
          <w:rStyle w:val="11"/>
          <w:rFonts w:hint="eastAsia"/>
        </w:rPr>
        <w:t>第二条</w:t>
      </w:r>
      <w:r>
        <w:rPr>
          <w:rFonts w:hint="eastAsia" w:ascii="仿宋" w:hAnsi="仿宋" w:eastAsia="仿宋" w:cs="仿宋"/>
          <w:sz w:val="32"/>
          <w:szCs w:val="32"/>
        </w:rPr>
        <w:t xml:space="preserve">  在本市行政区域内从事建设工程监理活动和实施对建设监理的监督管理，适用本条例。</w:t>
      </w:r>
    </w:p>
    <w:p>
      <w:pPr>
        <w:spacing w:line="560" w:lineRule="exact"/>
        <w:ind w:firstLine="640" w:firstLineChars="200"/>
        <w:rPr>
          <w:rFonts w:ascii="仿宋" w:hAnsi="仿宋" w:eastAsia="仿宋" w:cs="仿宋"/>
          <w:sz w:val="32"/>
          <w:szCs w:val="32"/>
        </w:rPr>
      </w:pPr>
      <w:r>
        <w:rPr>
          <w:rStyle w:val="11"/>
          <w:rFonts w:hint="eastAsia"/>
        </w:rPr>
        <w:t xml:space="preserve">第三条 </w:t>
      </w:r>
      <w:r>
        <w:rPr>
          <w:rFonts w:hint="eastAsia" w:ascii="仿宋" w:hAnsi="仿宋" w:eastAsia="仿宋" w:cs="仿宋"/>
          <w:sz w:val="32"/>
          <w:szCs w:val="32"/>
        </w:rPr>
        <w:t xml:space="preserve"> 本条例所称建设工程，是指土木工程、建筑工程、线路管道和设备安装及装修工程。本条例所称建设工程监理，是指监理单位受建设单位的委托，在监理合同约定的范围内，依据法律、法规及有关的技术标准、设计文件和建设工程承包合同，对建设工程质量、建设工期和建设资金使用等方面实施的监督。本条例所称监理单位，是指依法取得工程监理单位资质证书，具有法人资格，对建设工程实施专业化监督的企业。</w:t>
      </w:r>
    </w:p>
    <w:p>
      <w:pPr>
        <w:spacing w:line="560" w:lineRule="exact"/>
        <w:ind w:firstLine="640" w:firstLineChars="200"/>
        <w:rPr>
          <w:rFonts w:ascii="仿宋" w:hAnsi="仿宋" w:eastAsia="仿宋" w:cs="仿宋"/>
          <w:sz w:val="32"/>
          <w:szCs w:val="32"/>
        </w:rPr>
      </w:pPr>
      <w:r>
        <w:rPr>
          <w:rStyle w:val="11"/>
          <w:rFonts w:hint="eastAsia"/>
        </w:rPr>
        <w:t>第四条</w:t>
      </w:r>
      <w:r>
        <w:rPr>
          <w:rFonts w:hint="eastAsia" w:ascii="仿宋" w:hAnsi="仿宋" w:eastAsia="仿宋" w:cs="仿宋"/>
          <w:sz w:val="32"/>
          <w:szCs w:val="32"/>
        </w:rPr>
        <w:t xml:space="preserve">  市建设行政主管部门主管本市建设工程监理工作，对本市行政区域内的监理活动实行监督管理。区、县（市）建设行政主管部门，按照职责分工，负责本行政区域内建设工程监理管理工作。市人民政府有关部门，按照职责分工，做好建设工程监理管理工作。</w:t>
      </w:r>
    </w:p>
    <w:p>
      <w:pPr>
        <w:spacing w:line="560" w:lineRule="exact"/>
        <w:ind w:firstLine="640" w:firstLineChars="200"/>
        <w:rPr>
          <w:rFonts w:hint="eastAsia" w:ascii="仿宋" w:hAnsi="仿宋" w:eastAsia="仿宋" w:cs="仿宋"/>
          <w:sz w:val="32"/>
          <w:szCs w:val="32"/>
        </w:rPr>
      </w:pPr>
      <w:r>
        <w:rPr>
          <w:rStyle w:val="11"/>
          <w:rFonts w:hint="eastAsia"/>
        </w:rPr>
        <w:t>第五条</w:t>
      </w:r>
      <w:r>
        <w:rPr>
          <w:rFonts w:hint="eastAsia" w:ascii="仿宋" w:hAnsi="仿宋" w:eastAsia="仿宋" w:cs="仿宋"/>
          <w:sz w:val="32"/>
          <w:szCs w:val="32"/>
        </w:rPr>
        <w:t xml:space="preserve">  从事监理活动，应当遵循客观、公正、独立、自主的原则，维护建设单位和被监理单位的合法权益。</w:t>
      </w:r>
    </w:p>
    <w:p>
      <w:pPr>
        <w:spacing w:line="560" w:lineRule="exact"/>
        <w:ind w:firstLine="640" w:firstLineChars="200"/>
        <w:rPr>
          <w:rFonts w:ascii="仿宋" w:hAnsi="仿宋" w:eastAsia="仿宋" w:cs="仿宋"/>
          <w:sz w:val="32"/>
          <w:szCs w:val="32"/>
        </w:rPr>
      </w:pPr>
    </w:p>
    <w:p>
      <w:pPr>
        <w:pStyle w:val="2"/>
      </w:pPr>
      <w:bookmarkStart w:id="1" w:name="_Toc31837"/>
      <w:r>
        <w:rPr>
          <w:rFonts w:hint="eastAsia"/>
        </w:rPr>
        <w:t>第二章  监理单位和监理工程师</w:t>
      </w:r>
      <w:bookmarkEnd w:id="1"/>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第六条</w:t>
      </w:r>
      <w:r>
        <w:rPr>
          <w:rFonts w:hint="eastAsia" w:ascii="仿宋" w:hAnsi="仿宋" w:eastAsia="仿宋" w:cs="仿宋"/>
          <w:sz w:val="32"/>
          <w:szCs w:val="32"/>
        </w:rPr>
        <w:t xml:space="preserve">  设立监理单位应当具备下列条件：（一）有符合国家规定的注册资本；（二）有与其从事的建筑活动相适应的具有法定执业资格的专业技术人员；（三）有从事相关建筑活动所应有的技术装备；（四）法律、法规规定的其他条件。</w:t>
      </w:r>
    </w:p>
    <w:p>
      <w:pPr>
        <w:spacing w:line="560" w:lineRule="exact"/>
        <w:ind w:firstLine="640" w:firstLineChars="200"/>
        <w:rPr>
          <w:rFonts w:ascii="仿宋" w:hAnsi="仿宋" w:eastAsia="仿宋" w:cs="仿宋"/>
          <w:sz w:val="32"/>
          <w:szCs w:val="32"/>
        </w:rPr>
      </w:pPr>
      <w:r>
        <w:rPr>
          <w:rStyle w:val="11"/>
          <w:rFonts w:hint="eastAsia"/>
        </w:rPr>
        <w:t>第七条</w:t>
      </w:r>
      <w:r>
        <w:rPr>
          <w:rFonts w:hint="eastAsia" w:ascii="仿宋" w:hAnsi="仿宋" w:eastAsia="仿宋" w:cs="仿宋"/>
          <w:sz w:val="32"/>
          <w:szCs w:val="32"/>
        </w:rPr>
        <w:t xml:space="preserve">  监理单位依法取得资质证书后，方可承担相应的监理业务。</w:t>
      </w:r>
    </w:p>
    <w:p>
      <w:pPr>
        <w:spacing w:line="560" w:lineRule="exact"/>
        <w:ind w:firstLine="640" w:firstLineChars="200"/>
        <w:rPr>
          <w:rFonts w:ascii="仿宋" w:hAnsi="仿宋" w:eastAsia="仿宋" w:cs="仿宋"/>
          <w:sz w:val="32"/>
          <w:szCs w:val="32"/>
        </w:rPr>
      </w:pPr>
      <w:r>
        <w:rPr>
          <w:rStyle w:val="11"/>
          <w:rFonts w:hint="eastAsia"/>
        </w:rPr>
        <w:t>第八条</w:t>
      </w:r>
      <w:r>
        <w:rPr>
          <w:rFonts w:hint="eastAsia" w:ascii="仿宋" w:hAnsi="仿宋" w:eastAsia="仿宋" w:cs="仿宋"/>
          <w:sz w:val="32"/>
          <w:szCs w:val="32"/>
        </w:rPr>
        <w:t xml:space="preserve">  市建设行政主管部门应当对监理单位的资质实行监督管理。</w:t>
      </w:r>
    </w:p>
    <w:p>
      <w:pPr>
        <w:spacing w:line="560" w:lineRule="exact"/>
        <w:ind w:firstLine="640" w:firstLineChars="200"/>
        <w:rPr>
          <w:rFonts w:ascii="仿宋" w:hAnsi="仿宋" w:eastAsia="仿宋" w:cs="仿宋"/>
          <w:sz w:val="32"/>
          <w:szCs w:val="32"/>
        </w:rPr>
      </w:pPr>
      <w:r>
        <w:rPr>
          <w:rStyle w:val="11"/>
          <w:rFonts w:hint="eastAsia"/>
        </w:rPr>
        <w:t>第九条</w:t>
      </w:r>
      <w:r>
        <w:rPr>
          <w:rFonts w:hint="eastAsia" w:ascii="仿宋" w:hAnsi="仿宋" w:eastAsia="仿宋" w:cs="仿宋"/>
          <w:sz w:val="32"/>
          <w:szCs w:val="32"/>
        </w:rPr>
        <w:t xml:space="preserve">  监理单位有下列情况之一的，应当到原批准部门办理有关手续，并向市建设行政主管部门备案：（一）分立、合并或者设立分支机构；（二）歇业、破产或者以其他方式终止业务；（三）变更名称、住所、所有制形式；（四）变更法定代表人、主要技术负责人。</w:t>
      </w:r>
    </w:p>
    <w:p>
      <w:pPr>
        <w:spacing w:line="560" w:lineRule="exact"/>
        <w:ind w:firstLine="640" w:firstLineChars="200"/>
        <w:rPr>
          <w:rFonts w:ascii="仿宋" w:hAnsi="仿宋" w:eastAsia="仿宋" w:cs="仿宋"/>
          <w:sz w:val="32"/>
          <w:szCs w:val="32"/>
        </w:rPr>
      </w:pPr>
      <w:r>
        <w:rPr>
          <w:rStyle w:val="11"/>
          <w:rFonts w:hint="eastAsia"/>
        </w:rPr>
        <w:t>第十条</w:t>
      </w:r>
      <w:r>
        <w:rPr>
          <w:rFonts w:hint="eastAsia" w:ascii="仿宋" w:hAnsi="仿宋" w:eastAsia="仿宋" w:cs="仿宋"/>
          <w:sz w:val="32"/>
          <w:szCs w:val="32"/>
        </w:rPr>
        <w:t xml:space="preserve">  外埠的监理单位来本市从事监理活动的，应当到市建设行政主管部门备案。境外或者国外的监理单位来本市从事监理活动的，按照国家有关规定执行。</w:t>
      </w:r>
    </w:p>
    <w:p>
      <w:pPr>
        <w:spacing w:line="560" w:lineRule="exact"/>
        <w:ind w:firstLine="640" w:firstLineChars="200"/>
        <w:rPr>
          <w:rFonts w:ascii="仿宋" w:hAnsi="仿宋" w:eastAsia="仿宋" w:cs="仿宋"/>
          <w:sz w:val="32"/>
          <w:szCs w:val="32"/>
        </w:rPr>
      </w:pPr>
      <w:r>
        <w:rPr>
          <w:rStyle w:val="11"/>
          <w:rFonts w:hint="eastAsia"/>
        </w:rPr>
        <w:t>第十一条</w:t>
      </w:r>
      <w:r>
        <w:rPr>
          <w:rFonts w:hint="eastAsia" w:ascii="仿宋" w:hAnsi="仿宋" w:eastAsia="仿宋" w:cs="仿宋"/>
          <w:sz w:val="32"/>
          <w:szCs w:val="32"/>
        </w:rPr>
        <w:t xml:space="preserve">  监理单位必须在资质等级许可的范围内承担监理业务，不得转让监理业务，不得为本单位投资的建设工程实施监理。</w:t>
      </w:r>
    </w:p>
    <w:p>
      <w:pPr>
        <w:spacing w:line="560" w:lineRule="exact"/>
        <w:ind w:firstLine="640" w:firstLineChars="200"/>
        <w:rPr>
          <w:rFonts w:ascii="仿宋" w:hAnsi="仿宋" w:eastAsia="仿宋" w:cs="仿宋"/>
          <w:sz w:val="32"/>
          <w:szCs w:val="32"/>
        </w:rPr>
      </w:pPr>
      <w:r>
        <w:rPr>
          <w:rStyle w:val="11"/>
          <w:rFonts w:hint="eastAsia"/>
        </w:rPr>
        <w:t xml:space="preserve">第十二条 </w:t>
      </w:r>
      <w:r>
        <w:rPr>
          <w:rFonts w:hint="eastAsia" w:ascii="仿宋" w:hAnsi="仿宋" w:eastAsia="仿宋" w:cs="仿宋"/>
          <w:sz w:val="32"/>
          <w:szCs w:val="32"/>
        </w:rPr>
        <w:t xml:space="preserve"> 监理单位不得转让、出租或者出借资质证书，或者以其他方式允许他人以本单位名义承担监理业务。</w:t>
      </w:r>
    </w:p>
    <w:p>
      <w:pPr>
        <w:spacing w:line="560" w:lineRule="exact"/>
        <w:ind w:firstLine="640" w:firstLineChars="200"/>
        <w:rPr>
          <w:rFonts w:hint="eastAsia" w:ascii="仿宋" w:hAnsi="仿宋" w:eastAsia="仿宋" w:cs="仿宋"/>
          <w:sz w:val="32"/>
          <w:szCs w:val="32"/>
        </w:rPr>
      </w:pPr>
      <w:r>
        <w:rPr>
          <w:rStyle w:val="11"/>
          <w:rFonts w:hint="eastAsia"/>
        </w:rPr>
        <w:t xml:space="preserve">第十三条 </w:t>
      </w:r>
      <w:r>
        <w:rPr>
          <w:rFonts w:hint="eastAsia" w:ascii="仿宋" w:hAnsi="仿宋" w:eastAsia="仿宋" w:cs="仿宋"/>
          <w:sz w:val="32"/>
          <w:szCs w:val="32"/>
        </w:rPr>
        <w:t xml:space="preserve"> 监理工程师实行注册执业管理制度。监理工程师应当持有监理工程师资格证书，受聘于一个具有工程监理资质的单位，并按照国家有关规定进行注册，取得监理工程师注册证书和执业印章后，方可从事建设工程监理业务。</w:t>
      </w:r>
    </w:p>
    <w:p>
      <w:pPr>
        <w:spacing w:line="560" w:lineRule="exact"/>
        <w:ind w:firstLine="640" w:firstLineChars="200"/>
        <w:rPr>
          <w:rFonts w:ascii="仿宋" w:hAnsi="仿宋" w:eastAsia="仿宋" w:cs="仿宋"/>
          <w:sz w:val="32"/>
          <w:szCs w:val="32"/>
        </w:rPr>
      </w:pPr>
    </w:p>
    <w:p>
      <w:pPr>
        <w:pStyle w:val="2"/>
      </w:pPr>
      <w:bookmarkStart w:id="2" w:name="_Toc21946"/>
      <w:r>
        <w:rPr>
          <w:rFonts w:hint="eastAsia"/>
        </w:rPr>
        <w:t>第三章  监理的范围和内容</w:t>
      </w:r>
      <w:bookmarkEnd w:id="2"/>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第十四条</w:t>
      </w:r>
      <w:r>
        <w:rPr>
          <w:rFonts w:hint="eastAsia" w:ascii="仿宋" w:hAnsi="仿宋" w:eastAsia="仿宋" w:cs="仿宋"/>
          <w:sz w:val="32"/>
          <w:szCs w:val="32"/>
        </w:rPr>
        <w:t xml:space="preserve">  建设工程投资决策阶段、设计阶段和施工阶段推行监理制度。建设单位可以委托一个监理单位承担建设工程全部阶段或者部分阶段的监理，也可以委托几个监理单位分别承担建设工程各个阶段的监理。</w:t>
      </w:r>
    </w:p>
    <w:p>
      <w:pPr>
        <w:spacing w:line="560" w:lineRule="exact"/>
        <w:ind w:firstLine="640" w:firstLineChars="200"/>
        <w:rPr>
          <w:rFonts w:ascii="仿宋" w:hAnsi="仿宋" w:eastAsia="仿宋" w:cs="仿宋"/>
          <w:sz w:val="32"/>
          <w:szCs w:val="32"/>
        </w:rPr>
      </w:pPr>
      <w:r>
        <w:rPr>
          <w:rStyle w:val="11"/>
          <w:rFonts w:hint="eastAsia"/>
        </w:rPr>
        <w:t>第十五条</w:t>
      </w:r>
      <w:r>
        <w:rPr>
          <w:rFonts w:hint="eastAsia" w:ascii="仿宋" w:hAnsi="仿宋" w:eastAsia="仿宋" w:cs="仿宋"/>
          <w:sz w:val="32"/>
          <w:szCs w:val="32"/>
        </w:rPr>
        <w:t xml:space="preserve">  建设工程监理的内容包括：（一）协助建设单位进行工程项目可行性研究；（二）协助建设单位优选设计方案、设计单位和施工单位，审查设计文件；（三）控制工程质量、投资和工期；（四）监督建设工程合同的履行；（五）协调建设单位与工程建设各方的工作关系；（六）监督施工单位安全保证措施的落实；（七）其他需要监理的事项。</w:t>
      </w:r>
    </w:p>
    <w:p>
      <w:pPr>
        <w:spacing w:line="560" w:lineRule="exact"/>
        <w:ind w:firstLine="640" w:firstLineChars="200"/>
        <w:rPr>
          <w:rFonts w:hint="eastAsia" w:ascii="仿宋" w:hAnsi="仿宋" w:eastAsia="仿宋" w:cs="仿宋"/>
          <w:sz w:val="32"/>
          <w:szCs w:val="32"/>
        </w:rPr>
      </w:pPr>
      <w:r>
        <w:rPr>
          <w:rStyle w:val="11"/>
          <w:rFonts w:hint="eastAsia"/>
        </w:rPr>
        <w:t xml:space="preserve">第十六条 </w:t>
      </w:r>
      <w:r>
        <w:rPr>
          <w:rFonts w:hint="eastAsia" w:ascii="仿宋" w:hAnsi="仿宋" w:eastAsia="仿宋" w:cs="仿宋"/>
          <w:sz w:val="32"/>
          <w:szCs w:val="32"/>
        </w:rPr>
        <w:t xml:space="preserve"> 下列建设工程必须实行监理：（一）国家重点建设工程；（二）大中型公用事业工程；（三）成片开发建设的住宅小区工程；（四）利用外国政府或者国际组织贷款、援助资金的工程；（五）国家规定必须实行监理的其他工程。</w:t>
      </w:r>
    </w:p>
    <w:p>
      <w:pPr>
        <w:spacing w:line="560" w:lineRule="exact"/>
        <w:ind w:firstLine="640" w:firstLineChars="200"/>
        <w:rPr>
          <w:rFonts w:ascii="仿宋" w:hAnsi="仿宋" w:eastAsia="仿宋" w:cs="仿宋"/>
          <w:sz w:val="32"/>
          <w:szCs w:val="32"/>
        </w:rPr>
      </w:pPr>
    </w:p>
    <w:p>
      <w:pPr>
        <w:pStyle w:val="2"/>
      </w:pPr>
      <w:bookmarkStart w:id="3" w:name="_Toc13946"/>
      <w:r>
        <w:rPr>
          <w:rFonts w:hint="eastAsia"/>
        </w:rPr>
        <w:t>第四章  监理的实施</w:t>
      </w:r>
      <w:bookmarkEnd w:id="3"/>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第十七条</w:t>
      </w:r>
      <w:r>
        <w:rPr>
          <w:rFonts w:hint="eastAsia" w:ascii="仿宋" w:hAnsi="仿宋" w:eastAsia="仿宋" w:cs="仿宋"/>
          <w:sz w:val="32"/>
          <w:szCs w:val="32"/>
        </w:rPr>
        <w:t xml:space="preserve">  实行监理招标投标制度。建设工程监理招标投标应当按照《中华人民共和国招标投标法》和国家有关规定执行。</w:t>
      </w:r>
    </w:p>
    <w:p>
      <w:pPr>
        <w:spacing w:line="560" w:lineRule="exact"/>
        <w:ind w:firstLine="640" w:firstLineChars="200"/>
        <w:rPr>
          <w:rFonts w:ascii="仿宋" w:hAnsi="仿宋" w:eastAsia="仿宋" w:cs="仿宋"/>
          <w:sz w:val="32"/>
          <w:szCs w:val="32"/>
        </w:rPr>
      </w:pPr>
      <w:r>
        <w:rPr>
          <w:rStyle w:val="11"/>
          <w:rFonts w:hint="eastAsia"/>
        </w:rPr>
        <w:t xml:space="preserve">第十八条 </w:t>
      </w:r>
      <w:r>
        <w:rPr>
          <w:rFonts w:hint="eastAsia" w:ascii="仿宋" w:hAnsi="仿宋" w:eastAsia="仿宋" w:cs="仿宋"/>
          <w:sz w:val="32"/>
          <w:szCs w:val="32"/>
        </w:rPr>
        <w:t xml:space="preserve"> 建设单位应当与中标的监理单位签订书面监理合同。建设单位应当自监</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理合同签订之日起15日内，将合同文本报市建设行政主管部门备案。</w:t>
      </w:r>
    </w:p>
    <w:p>
      <w:pPr>
        <w:spacing w:line="560" w:lineRule="exact"/>
        <w:ind w:firstLine="640" w:firstLineChars="200"/>
        <w:rPr>
          <w:rFonts w:ascii="仿宋" w:hAnsi="仿宋" w:eastAsia="仿宋" w:cs="仿宋"/>
          <w:sz w:val="32"/>
          <w:szCs w:val="32"/>
        </w:rPr>
      </w:pPr>
      <w:r>
        <w:rPr>
          <w:rStyle w:val="11"/>
          <w:rFonts w:hint="eastAsia"/>
        </w:rPr>
        <w:t xml:space="preserve">第十九条 </w:t>
      </w:r>
      <w:r>
        <w:rPr>
          <w:rFonts w:hint="eastAsia" w:ascii="仿宋" w:hAnsi="仿宋" w:eastAsia="仿宋" w:cs="仿宋"/>
          <w:sz w:val="32"/>
          <w:szCs w:val="32"/>
        </w:rPr>
        <w:t xml:space="preserve"> 监理单位应当根据合同约定的监理事项，按规定成立由总监理工程师、专业监理工程师以及其他监理人员组成的项目监理机构。项目监理实行总监理工程师负责制。监理单位自项目监理机构成立之日起７日内，将项目监理机构组成人员情况报市建设行政主管部门备案。</w:t>
      </w:r>
    </w:p>
    <w:p>
      <w:pPr>
        <w:spacing w:line="560" w:lineRule="exact"/>
        <w:ind w:firstLine="640" w:firstLineChars="200"/>
        <w:rPr>
          <w:rFonts w:ascii="仿宋" w:hAnsi="仿宋" w:eastAsia="仿宋" w:cs="仿宋"/>
          <w:sz w:val="32"/>
          <w:szCs w:val="32"/>
        </w:rPr>
      </w:pPr>
      <w:r>
        <w:rPr>
          <w:rStyle w:val="11"/>
          <w:rFonts w:hint="eastAsia"/>
        </w:rPr>
        <w:t>第二十条</w:t>
      </w:r>
      <w:r>
        <w:rPr>
          <w:rFonts w:hint="eastAsia" w:ascii="仿宋" w:hAnsi="仿宋" w:eastAsia="仿宋" w:cs="仿宋"/>
          <w:sz w:val="32"/>
          <w:szCs w:val="32"/>
        </w:rPr>
        <w:t xml:space="preserve">  实施监理前，建设单位应当向勘察、设计、施工等单位发出书面通知，告知监理单位名称、监理的范围和内容、监理权限以及总监理工程师等事项；总监理工程师应当向勘察、设计、施工等单位发出书面通知，告知项目监理机构组成人员及监理权限。</w:t>
      </w:r>
    </w:p>
    <w:p>
      <w:pPr>
        <w:spacing w:line="560" w:lineRule="exact"/>
        <w:ind w:firstLine="640" w:firstLineChars="200"/>
        <w:rPr>
          <w:rFonts w:ascii="仿宋" w:hAnsi="仿宋" w:eastAsia="仿宋" w:cs="仿宋"/>
          <w:sz w:val="32"/>
          <w:szCs w:val="32"/>
        </w:rPr>
      </w:pPr>
      <w:r>
        <w:rPr>
          <w:rStyle w:val="11"/>
          <w:rFonts w:hint="eastAsia"/>
        </w:rPr>
        <w:t>第二十一条</w:t>
      </w:r>
      <w:r>
        <w:rPr>
          <w:rFonts w:hint="eastAsia" w:ascii="仿宋" w:hAnsi="仿宋" w:eastAsia="仿宋" w:cs="仿宋"/>
          <w:sz w:val="32"/>
          <w:szCs w:val="32"/>
        </w:rPr>
        <w:t xml:space="preserve">  项目监理机构必须按照监理规范对工程质量、投资、工期实行控制。承担施工阶段监理业务的项目监理机构必须进驻施工现场实施监理。</w:t>
      </w:r>
    </w:p>
    <w:p>
      <w:pPr>
        <w:spacing w:line="560" w:lineRule="exact"/>
        <w:ind w:firstLine="640" w:firstLineChars="200"/>
        <w:rPr>
          <w:rFonts w:ascii="仿宋" w:hAnsi="仿宋" w:eastAsia="仿宋" w:cs="仿宋"/>
          <w:sz w:val="32"/>
          <w:szCs w:val="32"/>
        </w:rPr>
      </w:pPr>
      <w:r>
        <w:rPr>
          <w:rStyle w:val="11"/>
          <w:rFonts w:hint="eastAsia"/>
        </w:rPr>
        <w:t>第二十二条</w:t>
      </w:r>
      <w:r>
        <w:rPr>
          <w:rFonts w:hint="eastAsia" w:ascii="仿宋" w:hAnsi="仿宋" w:eastAsia="仿宋" w:cs="仿宋"/>
          <w:sz w:val="32"/>
          <w:szCs w:val="32"/>
        </w:rPr>
        <w:t xml:space="preserve">  监理单位发现工程设计不符合设计规范的，应当及时报告建设单位，要求设计单位改正；发现工程施工不符合工程设计要求和施工技术标准的，应当书面通知施工单位改正。</w:t>
      </w:r>
    </w:p>
    <w:p>
      <w:pPr>
        <w:spacing w:line="560" w:lineRule="exact"/>
        <w:ind w:firstLine="640" w:firstLineChars="200"/>
        <w:rPr>
          <w:rFonts w:ascii="仿宋" w:hAnsi="仿宋" w:eastAsia="仿宋" w:cs="仿宋"/>
          <w:sz w:val="32"/>
          <w:szCs w:val="32"/>
        </w:rPr>
      </w:pPr>
      <w:r>
        <w:rPr>
          <w:rStyle w:val="11"/>
          <w:rFonts w:hint="eastAsia"/>
        </w:rPr>
        <w:t>第二十三条</w:t>
      </w:r>
      <w:r>
        <w:rPr>
          <w:rFonts w:hint="eastAsia" w:ascii="仿宋" w:hAnsi="仿宋" w:eastAsia="仿宋" w:cs="仿宋"/>
          <w:sz w:val="32"/>
          <w:szCs w:val="32"/>
        </w:rPr>
        <w:t xml:space="preserve">  工程所用材料进场验收合格书、工序验收交接合格书、工程款支付通知及停工通知应当由总监理工程师签发；总监理工程师根据实际需要可以下达工程暂停令和其他指令。</w:t>
      </w:r>
    </w:p>
    <w:p>
      <w:pPr>
        <w:spacing w:line="560" w:lineRule="exact"/>
        <w:ind w:firstLine="640" w:firstLineChars="200"/>
        <w:rPr>
          <w:rFonts w:ascii="仿宋" w:hAnsi="仿宋" w:eastAsia="仿宋" w:cs="仿宋"/>
          <w:sz w:val="32"/>
          <w:szCs w:val="32"/>
        </w:rPr>
      </w:pPr>
      <w:r>
        <w:rPr>
          <w:rStyle w:val="11"/>
          <w:rFonts w:hint="eastAsia"/>
        </w:rPr>
        <w:t>第二十四条</w:t>
      </w:r>
      <w:r>
        <w:rPr>
          <w:rFonts w:hint="eastAsia" w:ascii="仿宋" w:hAnsi="仿宋" w:eastAsia="仿宋" w:cs="仿宋"/>
          <w:sz w:val="32"/>
          <w:szCs w:val="32"/>
        </w:rPr>
        <w:t xml:space="preserve">  监理单位和监理工程师不得与建设单位或者施工单位串通，弄虚作假，降低工程质量；不得与被监理工程的施工单位以及建筑材料、建筑构配件和设备供应单位有隶属关系或者其他利害关系。</w:t>
      </w:r>
    </w:p>
    <w:p>
      <w:pPr>
        <w:spacing w:line="560" w:lineRule="exact"/>
        <w:ind w:firstLine="640" w:firstLineChars="200"/>
        <w:rPr>
          <w:rFonts w:hint="eastAsia" w:ascii="仿宋" w:hAnsi="仿宋" w:eastAsia="仿宋" w:cs="仿宋"/>
          <w:sz w:val="32"/>
          <w:szCs w:val="32"/>
        </w:rPr>
      </w:pPr>
      <w:r>
        <w:rPr>
          <w:rStyle w:val="11"/>
          <w:rFonts w:hint="eastAsia"/>
        </w:rPr>
        <w:t xml:space="preserve">第二十五条 </w:t>
      </w:r>
      <w:r>
        <w:rPr>
          <w:rFonts w:hint="eastAsia" w:ascii="仿宋" w:hAnsi="仿宋" w:eastAsia="仿宋" w:cs="仿宋"/>
          <w:sz w:val="32"/>
          <w:szCs w:val="32"/>
        </w:rPr>
        <w:t xml:space="preserve"> 监理工程师不履行监理职责或者不称职的，建设单位有权要求监理单位更换，监理单位应当自人员更换之日起７日内，报市建设行政主管部门备案。</w:t>
      </w:r>
    </w:p>
    <w:p>
      <w:pPr>
        <w:spacing w:line="560" w:lineRule="exact"/>
        <w:ind w:firstLine="640" w:firstLineChars="200"/>
        <w:rPr>
          <w:rFonts w:ascii="仿宋" w:hAnsi="仿宋" w:eastAsia="仿宋" w:cs="仿宋"/>
          <w:sz w:val="32"/>
          <w:szCs w:val="32"/>
        </w:rPr>
      </w:pPr>
    </w:p>
    <w:p>
      <w:pPr>
        <w:pStyle w:val="2"/>
      </w:pPr>
      <w:bookmarkStart w:id="4" w:name="_Toc5024"/>
      <w:r>
        <w:rPr>
          <w:rFonts w:hint="eastAsia"/>
        </w:rPr>
        <w:t>第五章  法律责任</w:t>
      </w:r>
      <w:bookmarkEnd w:id="4"/>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第二十六条</w:t>
      </w:r>
      <w:r>
        <w:rPr>
          <w:rFonts w:hint="eastAsia" w:ascii="仿宋" w:hAnsi="仿宋" w:eastAsia="仿宋" w:cs="仿宋"/>
          <w:sz w:val="32"/>
          <w:szCs w:val="32"/>
        </w:rPr>
        <w:t xml:space="preserve">  建设单位违反本条例规定，有下列行为之一的，由市建设行政主管部门责令改正，并按下列规定处以罚款：（一）依照国家规定必须实施监理的建设工程未实施监理的，处以20万元以上50万元以下的罚款；（二）委托给不具有相应资质等级工程监理单位的，处以50万元以上100万元以下的罚款；（三）应当通过招标方式选定监理单位而未通过招标方式确定监理单位的，可以处项目合同金额5‰以上10‰以下的罚款。</w:t>
      </w:r>
    </w:p>
    <w:p>
      <w:pPr>
        <w:spacing w:line="560" w:lineRule="exact"/>
        <w:ind w:firstLine="640" w:firstLineChars="200"/>
        <w:rPr>
          <w:rFonts w:ascii="仿宋" w:hAnsi="仿宋" w:eastAsia="仿宋" w:cs="仿宋"/>
          <w:sz w:val="32"/>
          <w:szCs w:val="32"/>
        </w:rPr>
      </w:pPr>
      <w:r>
        <w:rPr>
          <w:rStyle w:val="11"/>
          <w:rFonts w:hint="eastAsia"/>
        </w:rPr>
        <w:t>第二十七条</w:t>
      </w:r>
      <w:r>
        <w:rPr>
          <w:rFonts w:hint="eastAsia" w:ascii="仿宋" w:hAnsi="仿宋" w:eastAsia="仿宋" w:cs="仿宋"/>
          <w:sz w:val="32"/>
          <w:szCs w:val="32"/>
        </w:rPr>
        <w:t xml:space="preserve">  未取得监理资质等级证书擅自从事监理活动的，予以取缔，并处以合同约定监理酬金一倍以上两倍以下的罚款；有违法所得的，予以没收。</w:t>
      </w:r>
    </w:p>
    <w:p>
      <w:pPr>
        <w:spacing w:line="560" w:lineRule="exact"/>
        <w:ind w:firstLine="640" w:firstLineChars="200"/>
        <w:rPr>
          <w:rFonts w:ascii="仿宋" w:hAnsi="仿宋" w:eastAsia="仿宋" w:cs="仿宋"/>
          <w:sz w:val="32"/>
          <w:szCs w:val="32"/>
        </w:rPr>
      </w:pPr>
      <w:r>
        <w:rPr>
          <w:rStyle w:val="11"/>
          <w:rFonts w:hint="eastAsia"/>
        </w:rPr>
        <w:t xml:space="preserve">第二十八条 </w:t>
      </w:r>
      <w:r>
        <w:rPr>
          <w:rFonts w:hint="eastAsia" w:ascii="仿宋" w:hAnsi="仿宋" w:eastAsia="仿宋" w:cs="仿宋"/>
          <w:sz w:val="32"/>
          <w:szCs w:val="32"/>
        </w:rPr>
        <w:t xml:space="preserve"> 监理单位违反本条例规定，有下列行为之一的，由市建设行政主管部门责令改正，没收违法所得，并按下列规定处以罚款：（一）超越本单位资质等级承接监理业务的，处以合同约定监理酬金一倍以上两倍以下的罚款；（二）允许他人以本单位名义承接监理业务的，处以合同约定监理酬金一倍以上两倍以下的罚款；（三）转让监理业务的，处以合同约定监理酬金25％以上50％以下的罚款；（四）与被监理工程的建设单位或者施工单位串通，弄虚作假，降低工程质量的，处以50万元以上100万元以下的罚款；（五）与被监理工程的施工单位以及建筑材料、建筑构配件和设备供应单位有隶属关系或者其他利害关系的，处以5万元以上10万元以下的罚款。</w:t>
      </w:r>
    </w:p>
    <w:p>
      <w:pPr>
        <w:spacing w:line="560" w:lineRule="exact"/>
        <w:ind w:firstLine="640" w:firstLineChars="200"/>
        <w:rPr>
          <w:rFonts w:hint="eastAsia" w:ascii="仿宋" w:hAnsi="仿宋" w:eastAsia="仿宋" w:cs="仿宋"/>
          <w:sz w:val="32"/>
          <w:szCs w:val="32"/>
        </w:rPr>
      </w:pPr>
      <w:r>
        <w:rPr>
          <w:rStyle w:val="11"/>
          <w:rFonts w:hint="eastAsia"/>
        </w:rPr>
        <w:t>第二十九条</w:t>
      </w:r>
      <w:r>
        <w:rPr>
          <w:rFonts w:hint="eastAsia" w:ascii="仿宋" w:hAnsi="仿宋" w:eastAsia="仿宋" w:cs="仿宋"/>
          <w:sz w:val="32"/>
          <w:szCs w:val="32"/>
        </w:rPr>
        <w:t xml:space="preserve">  建设行政主管部门工作人员在监理管理中，玩忽职守、滥用职权、营私舞弊、贪污受贿构成犯罪的，依法追究刑事责任；尚不构成犯罪的，依法给予行政处分。</w:t>
      </w:r>
    </w:p>
    <w:p>
      <w:pPr>
        <w:spacing w:line="560" w:lineRule="exact"/>
        <w:ind w:firstLine="640" w:firstLineChars="200"/>
        <w:rPr>
          <w:rFonts w:ascii="仿宋" w:hAnsi="仿宋" w:eastAsia="仿宋" w:cs="仿宋"/>
          <w:sz w:val="32"/>
          <w:szCs w:val="32"/>
        </w:rPr>
      </w:pPr>
    </w:p>
    <w:p>
      <w:pPr>
        <w:pStyle w:val="2"/>
      </w:pPr>
      <w:bookmarkStart w:id="5" w:name="_Toc27694"/>
      <w:r>
        <w:rPr>
          <w:rFonts w:hint="eastAsia"/>
        </w:rPr>
        <w:t>第六章  附    则</w:t>
      </w:r>
      <w:bookmarkEnd w:id="5"/>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 xml:space="preserve">第三十条 </w:t>
      </w:r>
      <w:r>
        <w:rPr>
          <w:rFonts w:hint="eastAsia" w:ascii="仿宋" w:hAnsi="仿宋" w:eastAsia="仿宋" w:cs="仿宋"/>
          <w:sz w:val="32"/>
          <w:szCs w:val="32"/>
        </w:rPr>
        <w:t xml:space="preserve"> 本条例自2002年3月15日起施行。</w:t>
      </w:r>
    </w:p>
    <w:p>
      <w:pPr>
        <w:spacing w:line="560" w:lineRule="exact"/>
        <w:rPr>
          <w:rFonts w:ascii="仿宋" w:hAnsi="仿宋" w:eastAsia="仿宋" w:cs="仿宋"/>
          <w:sz w:val="32"/>
          <w:szCs w:val="32"/>
        </w:rPr>
      </w:pPr>
    </w:p>
    <w:p>
      <w:pPr>
        <w:spacing w:line="560" w:lineRule="exact"/>
        <w:rPr>
          <w:rFonts w:ascii="仿宋" w:hAnsi="仿宋" w:eastAsia="仿宋" w:cs="仿宋"/>
          <w:sz w:val="32"/>
          <w:szCs w:val="32"/>
        </w:rPr>
      </w:pPr>
    </w:p>
    <w:sectPr>
      <w:footerReference r:id="rId3" w:type="default"/>
      <w:pgSz w:w="11906" w:h="16838"/>
      <w:pgMar w:top="2041" w:right="1531" w:bottom="2041" w:left="1531" w:header="851" w:footer="992" w:gutter="0"/>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path/>
          <v:fill on="f" focussize="0,0"/>
          <v:stroke on="f" joinstyle="miter"/>
          <v:imagedata o:title=""/>
          <o:lock v:ext="edit"/>
          <v:textbox inset="0mm,0mm,0mm,0mm" style="mso-fit-shape-to-text:t;">
            <w:txbxContent>
              <w:p>
                <w:pPr>
                  <w:pStyle w:val="5"/>
                  <w:ind w:left="420" w:leftChars="200" w:right="420" w:rightChars="200"/>
                </w:pPr>
                <w:r>
                  <w:rPr>
                    <w:rFonts w:hint="eastAsia" w:ascii="宋体" w:hAnsi="宋体" w:cs="宋体"/>
                    <w:sz w:val="28"/>
                    <w:szCs w:val="28"/>
                  </w:rPr>
                  <w:t>—</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8</w:t>
                </w:r>
                <w:r>
                  <w:rPr>
                    <w:rFonts w:hint="eastAsia" w:ascii="宋体" w:hAnsi="宋体" w:cs="宋体"/>
                    <w:sz w:val="28"/>
                    <w:szCs w:val="28"/>
                  </w:rPr>
                  <w:fldChar w:fldCharType="end"/>
                </w:r>
                <w:r>
                  <w:rPr>
                    <w:rFonts w:hint="eastAsia"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hdrShapeDefaults>
    <o:shapelayout v:ext="edit">
      <o:idmap v:ext="edit" data="1,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4069F1"/>
    <w:rsid w:val="000002D8"/>
    <w:rsid w:val="00003585"/>
    <w:rsid w:val="00014686"/>
    <w:rsid w:val="00017797"/>
    <w:rsid w:val="00021DF8"/>
    <w:rsid w:val="000241CB"/>
    <w:rsid w:val="000319B6"/>
    <w:rsid w:val="00031FD8"/>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26D"/>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3BAE"/>
    <w:rsid w:val="00EF6FD6"/>
    <w:rsid w:val="00F001CA"/>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90F4F"/>
    <w:rsid w:val="019F29FF"/>
    <w:rsid w:val="01B07530"/>
    <w:rsid w:val="01C93546"/>
    <w:rsid w:val="022A532B"/>
    <w:rsid w:val="02706198"/>
    <w:rsid w:val="02BB10C4"/>
    <w:rsid w:val="02E335AF"/>
    <w:rsid w:val="034E4A22"/>
    <w:rsid w:val="037173F5"/>
    <w:rsid w:val="03E059D2"/>
    <w:rsid w:val="046B7EF9"/>
    <w:rsid w:val="047562DE"/>
    <w:rsid w:val="04900C53"/>
    <w:rsid w:val="049722EE"/>
    <w:rsid w:val="04E40B3C"/>
    <w:rsid w:val="05142607"/>
    <w:rsid w:val="051A30BF"/>
    <w:rsid w:val="051B4077"/>
    <w:rsid w:val="053068BE"/>
    <w:rsid w:val="05A975C6"/>
    <w:rsid w:val="05B25CDC"/>
    <w:rsid w:val="05BD73DC"/>
    <w:rsid w:val="05E463EE"/>
    <w:rsid w:val="06611DC8"/>
    <w:rsid w:val="06742669"/>
    <w:rsid w:val="06A52A2F"/>
    <w:rsid w:val="06AC11F5"/>
    <w:rsid w:val="06BB1A3E"/>
    <w:rsid w:val="06D27684"/>
    <w:rsid w:val="06F47A3E"/>
    <w:rsid w:val="06FE4C7B"/>
    <w:rsid w:val="07454396"/>
    <w:rsid w:val="07615354"/>
    <w:rsid w:val="07C466F9"/>
    <w:rsid w:val="07F10DC0"/>
    <w:rsid w:val="07FE6FB6"/>
    <w:rsid w:val="080D3997"/>
    <w:rsid w:val="08935BC4"/>
    <w:rsid w:val="08E64EDB"/>
    <w:rsid w:val="08F76E4E"/>
    <w:rsid w:val="09303886"/>
    <w:rsid w:val="094C7E9A"/>
    <w:rsid w:val="09545708"/>
    <w:rsid w:val="09614306"/>
    <w:rsid w:val="09A05A0C"/>
    <w:rsid w:val="09B537A1"/>
    <w:rsid w:val="09EB1163"/>
    <w:rsid w:val="0AAD4A9B"/>
    <w:rsid w:val="0AF62434"/>
    <w:rsid w:val="0B201CF0"/>
    <w:rsid w:val="0B4724B0"/>
    <w:rsid w:val="0BAC149A"/>
    <w:rsid w:val="0BCF2297"/>
    <w:rsid w:val="0C320844"/>
    <w:rsid w:val="0C350F96"/>
    <w:rsid w:val="0C58755E"/>
    <w:rsid w:val="0C6E62A7"/>
    <w:rsid w:val="0C9A52D9"/>
    <w:rsid w:val="0CAD576F"/>
    <w:rsid w:val="0D495165"/>
    <w:rsid w:val="0D970C3A"/>
    <w:rsid w:val="0DDF6E30"/>
    <w:rsid w:val="0DE04D9C"/>
    <w:rsid w:val="0FBC5FC6"/>
    <w:rsid w:val="0FE65D02"/>
    <w:rsid w:val="101843A9"/>
    <w:rsid w:val="10803A33"/>
    <w:rsid w:val="10A646F2"/>
    <w:rsid w:val="10F055B0"/>
    <w:rsid w:val="113A565D"/>
    <w:rsid w:val="11A3282F"/>
    <w:rsid w:val="11BF194F"/>
    <w:rsid w:val="12032FD1"/>
    <w:rsid w:val="12501663"/>
    <w:rsid w:val="12921963"/>
    <w:rsid w:val="12971EEE"/>
    <w:rsid w:val="12FB32D9"/>
    <w:rsid w:val="131D114D"/>
    <w:rsid w:val="13675AF7"/>
    <w:rsid w:val="13881CB2"/>
    <w:rsid w:val="13AF0DB0"/>
    <w:rsid w:val="13D6470E"/>
    <w:rsid w:val="14225112"/>
    <w:rsid w:val="14577E5A"/>
    <w:rsid w:val="14725DF3"/>
    <w:rsid w:val="14BA20EB"/>
    <w:rsid w:val="14CD746B"/>
    <w:rsid w:val="14E4537D"/>
    <w:rsid w:val="14FC012B"/>
    <w:rsid w:val="152A714F"/>
    <w:rsid w:val="156D2257"/>
    <w:rsid w:val="15883D87"/>
    <w:rsid w:val="158A4D68"/>
    <w:rsid w:val="159B597A"/>
    <w:rsid w:val="15AE338E"/>
    <w:rsid w:val="15D26080"/>
    <w:rsid w:val="160C6692"/>
    <w:rsid w:val="16602F7F"/>
    <w:rsid w:val="166F2CEE"/>
    <w:rsid w:val="168738C3"/>
    <w:rsid w:val="168C6C88"/>
    <w:rsid w:val="169C4C1E"/>
    <w:rsid w:val="16CF1633"/>
    <w:rsid w:val="16D07390"/>
    <w:rsid w:val="16DE4F0A"/>
    <w:rsid w:val="17072161"/>
    <w:rsid w:val="171D4256"/>
    <w:rsid w:val="17305B1F"/>
    <w:rsid w:val="178342AD"/>
    <w:rsid w:val="17AC5426"/>
    <w:rsid w:val="17B934DE"/>
    <w:rsid w:val="185742AC"/>
    <w:rsid w:val="185D3EB2"/>
    <w:rsid w:val="18922DC3"/>
    <w:rsid w:val="18AD19C0"/>
    <w:rsid w:val="19025465"/>
    <w:rsid w:val="192201FD"/>
    <w:rsid w:val="1930599F"/>
    <w:rsid w:val="194467B3"/>
    <w:rsid w:val="194E1DDE"/>
    <w:rsid w:val="19A9569B"/>
    <w:rsid w:val="19BE4516"/>
    <w:rsid w:val="19C8553A"/>
    <w:rsid w:val="19EF167F"/>
    <w:rsid w:val="1A0B1E27"/>
    <w:rsid w:val="1A2C240B"/>
    <w:rsid w:val="1A4E285D"/>
    <w:rsid w:val="1A513FF9"/>
    <w:rsid w:val="1ACC509D"/>
    <w:rsid w:val="1AD51F6C"/>
    <w:rsid w:val="1ADB0DA2"/>
    <w:rsid w:val="1B06088A"/>
    <w:rsid w:val="1B220777"/>
    <w:rsid w:val="1B4C3352"/>
    <w:rsid w:val="1B574B73"/>
    <w:rsid w:val="1BC13337"/>
    <w:rsid w:val="1BF6420E"/>
    <w:rsid w:val="1C2F5423"/>
    <w:rsid w:val="1C6540F3"/>
    <w:rsid w:val="1C8D0327"/>
    <w:rsid w:val="1CA81237"/>
    <w:rsid w:val="1CAC6918"/>
    <w:rsid w:val="1CB44D37"/>
    <w:rsid w:val="1CB53191"/>
    <w:rsid w:val="1CFF118A"/>
    <w:rsid w:val="1D5E4B71"/>
    <w:rsid w:val="1D62264A"/>
    <w:rsid w:val="1D6C4DAA"/>
    <w:rsid w:val="1DBC76C8"/>
    <w:rsid w:val="1E1B06B9"/>
    <w:rsid w:val="1E9722BD"/>
    <w:rsid w:val="1EBF613B"/>
    <w:rsid w:val="1EC36185"/>
    <w:rsid w:val="1ECD0EC5"/>
    <w:rsid w:val="1EE8371A"/>
    <w:rsid w:val="1F390C60"/>
    <w:rsid w:val="1F435EC9"/>
    <w:rsid w:val="1F503903"/>
    <w:rsid w:val="1F786767"/>
    <w:rsid w:val="1FA4765D"/>
    <w:rsid w:val="1FB16189"/>
    <w:rsid w:val="1FCF4B1D"/>
    <w:rsid w:val="1FD646DD"/>
    <w:rsid w:val="1FE2166B"/>
    <w:rsid w:val="20120AD7"/>
    <w:rsid w:val="20357325"/>
    <w:rsid w:val="2055098A"/>
    <w:rsid w:val="20702194"/>
    <w:rsid w:val="20D005C2"/>
    <w:rsid w:val="21553C7F"/>
    <w:rsid w:val="222D2EDD"/>
    <w:rsid w:val="22320694"/>
    <w:rsid w:val="228E1A7C"/>
    <w:rsid w:val="22941ED8"/>
    <w:rsid w:val="22D4703C"/>
    <w:rsid w:val="22D52973"/>
    <w:rsid w:val="22E501F9"/>
    <w:rsid w:val="23087A91"/>
    <w:rsid w:val="23471EE9"/>
    <w:rsid w:val="2352717F"/>
    <w:rsid w:val="237041E3"/>
    <w:rsid w:val="237431B0"/>
    <w:rsid w:val="23C16288"/>
    <w:rsid w:val="247316FD"/>
    <w:rsid w:val="24887EA6"/>
    <w:rsid w:val="249204FC"/>
    <w:rsid w:val="24D25A92"/>
    <w:rsid w:val="251353A8"/>
    <w:rsid w:val="2582293E"/>
    <w:rsid w:val="25865479"/>
    <w:rsid w:val="259B1E7E"/>
    <w:rsid w:val="265165AD"/>
    <w:rsid w:val="268F05CC"/>
    <w:rsid w:val="27411DBA"/>
    <w:rsid w:val="27596E70"/>
    <w:rsid w:val="2770139F"/>
    <w:rsid w:val="279B5668"/>
    <w:rsid w:val="27B71403"/>
    <w:rsid w:val="27BD45D9"/>
    <w:rsid w:val="27BE28D4"/>
    <w:rsid w:val="284A4E31"/>
    <w:rsid w:val="2859370C"/>
    <w:rsid w:val="28CC55C8"/>
    <w:rsid w:val="29070618"/>
    <w:rsid w:val="2910479A"/>
    <w:rsid w:val="29BE6969"/>
    <w:rsid w:val="29E66142"/>
    <w:rsid w:val="2A024F82"/>
    <w:rsid w:val="2A5463A6"/>
    <w:rsid w:val="2A76755E"/>
    <w:rsid w:val="2AB252CF"/>
    <w:rsid w:val="2ADF3094"/>
    <w:rsid w:val="2B7A4EFF"/>
    <w:rsid w:val="2B9076E2"/>
    <w:rsid w:val="2BB84C19"/>
    <w:rsid w:val="2BC97D6F"/>
    <w:rsid w:val="2BD9140F"/>
    <w:rsid w:val="2BF67D7D"/>
    <w:rsid w:val="2C024CC5"/>
    <w:rsid w:val="2C237419"/>
    <w:rsid w:val="2C2C429B"/>
    <w:rsid w:val="2C531703"/>
    <w:rsid w:val="2C5B2BB8"/>
    <w:rsid w:val="2C69365C"/>
    <w:rsid w:val="2C8A703F"/>
    <w:rsid w:val="2CA624D2"/>
    <w:rsid w:val="2CAB2600"/>
    <w:rsid w:val="2CF6672E"/>
    <w:rsid w:val="2D56772A"/>
    <w:rsid w:val="2DED3F13"/>
    <w:rsid w:val="2E2B3406"/>
    <w:rsid w:val="2E4A7B35"/>
    <w:rsid w:val="2F1A1FC9"/>
    <w:rsid w:val="2F4B0088"/>
    <w:rsid w:val="2FBD38F9"/>
    <w:rsid w:val="2FFB0F18"/>
    <w:rsid w:val="300D3841"/>
    <w:rsid w:val="303426E4"/>
    <w:rsid w:val="304A1A07"/>
    <w:rsid w:val="310A600B"/>
    <w:rsid w:val="31265690"/>
    <w:rsid w:val="31583588"/>
    <w:rsid w:val="318F3095"/>
    <w:rsid w:val="322054E2"/>
    <w:rsid w:val="325B7CF5"/>
    <w:rsid w:val="32696861"/>
    <w:rsid w:val="32FD4595"/>
    <w:rsid w:val="335B5D3E"/>
    <w:rsid w:val="338E2A94"/>
    <w:rsid w:val="33907B65"/>
    <w:rsid w:val="33A3385F"/>
    <w:rsid w:val="33DA5553"/>
    <w:rsid w:val="340269D0"/>
    <w:rsid w:val="34412505"/>
    <w:rsid w:val="345C5DB9"/>
    <w:rsid w:val="348B1AFA"/>
    <w:rsid w:val="34D53C58"/>
    <w:rsid w:val="350202EE"/>
    <w:rsid w:val="350D0E7D"/>
    <w:rsid w:val="35687CE4"/>
    <w:rsid w:val="362145A1"/>
    <w:rsid w:val="362C35A8"/>
    <w:rsid w:val="364F58B6"/>
    <w:rsid w:val="36740DD3"/>
    <w:rsid w:val="3681181F"/>
    <w:rsid w:val="36911E77"/>
    <w:rsid w:val="36932EDB"/>
    <w:rsid w:val="36B46682"/>
    <w:rsid w:val="3764581F"/>
    <w:rsid w:val="37BA5750"/>
    <w:rsid w:val="37CD16BE"/>
    <w:rsid w:val="37D43772"/>
    <w:rsid w:val="38114365"/>
    <w:rsid w:val="38C61923"/>
    <w:rsid w:val="38D67C8C"/>
    <w:rsid w:val="39023EF6"/>
    <w:rsid w:val="39256A34"/>
    <w:rsid w:val="39353471"/>
    <w:rsid w:val="3942301E"/>
    <w:rsid w:val="39877ADA"/>
    <w:rsid w:val="39C27E4A"/>
    <w:rsid w:val="39EA2C12"/>
    <w:rsid w:val="3A144156"/>
    <w:rsid w:val="3A175EE4"/>
    <w:rsid w:val="3A42463A"/>
    <w:rsid w:val="3A522EB0"/>
    <w:rsid w:val="3A7A48F4"/>
    <w:rsid w:val="3AA724BE"/>
    <w:rsid w:val="3B113C56"/>
    <w:rsid w:val="3B166EF3"/>
    <w:rsid w:val="3B2A1697"/>
    <w:rsid w:val="3B357729"/>
    <w:rsid w:val="3B6303A3"/>
    <w:rsid w:val="3B970652"/>
    <w:rsid w:val="3BDB376B"/>
    <w:rsid w:val="3C63749C"/>
    <w:rsid w:val="3C7C0AD9"/>
    <w:rsid w:val="3CA27920"/>
    <w:rsid w:val="3CAF6491"/>
    <w:rsid w:val="3CD76A5E"/>
    <w:rsid w:val="3CF526C6"/>
    <w:rsid w:val="3D8C7D9E"/>
    <w:rsid w:val="3DAB357F"/>
    <w:rsid w:val="3DBC736B"/>
    <w:rsid w:val="3DDC1CCC"/>
    <w:rsid w:val="3E044681"/>
    <w:rsid w:val="3E062AFC"/>
    <w:rsid w:val="3E474407"/>
    <w:rsid w:val="3E5C4F83"/>
    <w:rsid w:val="3E5E374E"/>
    <w:rsid w:val="3EB96119"/>
    <w:rsid w:val="3EBF12C6"/>
    <w:rsid w:val="3ED661F9"/>
    <w:rsid w:val="3EEB18FD"/>
    <w:rsid w:val="3FC364AB"/>
    <w:rsid w:val="400F6405"/>
    <w:rsid w:val="401E686E"/>
    <w:rsid w:val="40360DC4"/>
    <w:rsid w:val="4068667C"/>
    <w:rsid w:val="406D3CCC"/>
    <w:rsid w:val="40BD4D08"/>
    <w:rsid w:val="40E206DE"/>
    <w:rsid w:val="411A6716"/>
    <w:rsid w:val="41674852"/>
    <w:rsid w:val="41715365"/>
    <w:rsid w:val="41717D55"/>
    <w:rsid w:val="417F330F"/>
    <w:rsid w:val="418774A7"/>
    <w:rsid w:val="41B36892"/>
    <w:rsid w:val="423D0E1A"/>
    <w:rsid w:val="42BB3568"/>
    <w:rsid w:val="433618E3"/>
    <w:rsid w:val="43902F92"/>
    <w:rsid w:val="43BB5864"/>
    <w:rsid w:val="43D47283"/>
    <w:rsid w:val="44015158"/>
    <w:rsid w:val="443F6670"/>
    <w:rsid w:val="446A3592"/>
    <w:rsid w:val="44D65C21"/>
    <w:rsid w:val="44FE2221"/>
    <w:rsid w:val="45272B0A"/>
    <w:rsid w:val="455F48D6"/>
    <w:rsid w:val="45741C31"/>
    <w:rsid w:val="457B6D5D"/>
    <w:rsid w:val="457E1DBF"/>
    <w:rsid w:val="457F1C35"/>
    <w:rsid w:val="45B17D82"/>
    <w:rsid w:val="45BD5D2A"/>
    <w:rsid w:val="46185497"/>
    <w:rsid w:val="46947398"/>
    <w:rsid w:val="46A94114"/>
    <w:rsid w:val="4747483B"/>
    <w:rsid w:val="4752024C"/>
    <w:rsid w:val="479D34DA"/>
    <w:rsid w:val="47B36222"/>
    <w:rsid w:val="48384FF9"/>
    <w:rsid w:val="48863842"/>
    <w:rsid w:val="48B4556B"/>
    <w:rsid w:val="48D15C4E"/>
    <w:rsid w:val="4985592B"/>
    <w:rsid w:val="49DF2357"/>
    <w:rsid w:val="4A0B2CD5"/>
    <w:rsid w:val="4A312D13"/>
    <w:rsid w:val="4A431B58"/>
    <w:rsid w:val="4B0044C6"/>
    <w:rsid w:val="4B726BBC"/>
    <w:rsid w:val="4BB23436"/>
    <w:rsid w:val="4C1A7FB6"/>
    <w:rsid w:val="4C4654A4"/>
    <w:rsid w:val="4C4C1D0E"/>
    <w:rsid w:val="4C9A4880"/>
    <w:rsid w:val="4CEC6E50"/>
    <w:rsid w:val="4D106A2B"/>
    <w:rsid w:val="4D55097D"/>
    <w:rsid w:val="4D5E77CB"/>
    <w:rsid w:val="4D76741B"/>
    <w:rsid w:val="4D9B0A0F"/>
    <w:rsid w:val="4DB6051A"/>
    <w:rsid w:val="4DD71CE8"/>
    <w:rsid w:val="4DDA6DB5"/>
    <w:rsid w:val="4DDD6FB3"/>
    <w:rsid w:val="4E060928"/>
    <w:rsid w:val="4E4468D4"/>
    <w:rsid w:val="4E8B296E"/>
    <w:rsid w:val="4F3C0534"/>
    <w:rsid w:val="4F5F3126"/>
    <w:rsid w:val="4F7F7588"/>
    <w:rsid w:val="4FD61C47"/>
    <w:rsid w:val="4FEE3C8F"/>
    <w:rsid w:val="50332117"/>
    <w:rsid w:val="50343626"/>
    <w:rsid w:val="506E42FE"/>
    <w:rsid w:val="50D504DE"/>
    <w:rsid w:val="50EF7D38"/>
    <w:rsid w:val="51100F7F"/>
    <w:rsid w:val="5110162C"/>
    <w:rsid w:val="511C75E7"/>
    <w:rsid w:val="513C4BD8"/>
    <w:rsid w:val="51485795"/>
    <w:rsid w:val="514D4ED0"/>
    <w:rsid w:val="51582E03"/>
    <w:rsid w:val="51AA3409"/>
    <w:rsid w:val="5212048B"/>
    <w:rsid w:val="52503D47"/>
    <w:rsid w:val="52C252CC"/>
    <w:rsid w:val="532E2091"/>
    <w:rsid w:val="53D73C8B"/>
    <w:rsid w:val="542E3E3B"/>
    <w:rsid w:val="54516785"/>
    <w:rsid w:val="5454185E"/>
    <w:rsid w:val="5461053A"/>
    <w:rsid w:val="546C79AD"/>
    <w:rsid w:val="548328D3"/>
    <w:rsid w:val="54970FD2"/>
    <w:rsid w:val="54A05FA4"/>
    <w:rsid w:val="54E77D81"/>
    <w:rsid w:val="552672F6"/>
    <w:rsid w:val="55D5763D"/>
    <w:rsid w:val="55E1405A"/>
    <w:rsid w:val="561E045F"/>
    <w:rsid w:val="5651155E"/>
    <w:rsid w:val="56902235"/>
    <w:rsid w:val="56A960D5"/>
    <w:rsid w:val="579322BC"/>
    <w:rsid w:val="57DC07AC"/>
    <w:rsid w:val="58250A7C"/>
    <w:rsid w:val="585D0D73"/>
    <w:rsid w:val="5877287D"/>
    <w:rsid w:val="587E2B60"/>
    <w:rsid w:val="589C7904"/>
    <w:rsid w:val="58BF1CDD"/>
    <w:rsid w:val="593C58AC"/>
    <w:rsid w:val="59866208"/>
    <w:rsid w:val="59965ABB"/>
    <w:rsid w:val="59EF4C7E"/>
    <w:rsid w:val="5A5B670A"/>
    <w:rsid w:val="5A7523CD"/>
    <w:rsid w:val="5A984B29"/>
    <w:rsid w:val="5AC874F0"/>
    <w:rsid w:val="5AE56123"/>
    <w:rsid w:val="5B407769"/>
    <w:rsid w:val="5B531C67"/>
    <w:rsid w:val="5BA0270B"/>
    <w:rsid w:val="5BB07EA3"/>
    <w:rsid w:val="5C175839"/>
    <w:rsid w:val="5C2771BA"/>
    <w:rsid w:val="5CAE184C"/>
    <w:rsid w:val="5CCF3427"/>
    <w:rsid w:val="5CD958CD"/>
    <w:rsid w:val="5D557162"/>
    <w:rsid w:val="5DAC3546"/>
    <w:rsid w:val="5DB912E5"/>
    <w:rsid w:val="5E431810"/>
    <w:rsid w:val="5E654974"/>
    <w:rsid w:val="5E822C64"/>
    <w:rsid w:val="5E9E2143"/>
    <w:rsid w:val="5EA14CF3"/>
    <w:rsid w:val="5F2B1DDA"/>
    <w:rsid w:val="5F9E0A02"/>
    <w:rsid w:val="5FF77C05"/>
    <w:rsid w:val="602C263E"/>
    <w:rsid w:val="60307729"/>
    <w:rsid w:val="60337945"/>
    <w:rsid w:val="607A1087"/>
    <w:rsid w:val="60BF7B30"/>
    <w:rsid w:val="60DE1EFA"/>
    <w:rsid w:val="60E50712"/>
    <w:rsid w:val="61601756"/>
    <w:rsid w:val="62035611"/>
    <w:rsid w:val="620E1834"/>
    <w:rsid w:val="62281FEF"/>
    <w:rsid w:val="62492030"/>
    <w:rsid w:val="62D73A94"/>
    <w:rsid w:val="63116D75"/>
    <w:rsid w:val="63194217"/>
    <w:rsid w:val="632E78CB"/>
    <w:rsid w:val="63305152"/>
    <w:rsid w:val="63550450"/>
    <w:rsid w:val="63B63C60"/>
    <w:rsid w:val="64426ECA"/>
    <w:rsid w:val="64450612"/>
    <w:rsid w:val="646A1271"/>
    <w:rsid w:val="646E44A6"/>
    <w:rsid w:val="65480800"/>
    <w:rsid w:val="656D328E"/>
    <w:rsid w:val="65883AB5"/>
    <w:rsid w:val="65F50F8E"/>
    <w:rsid w:val="661B6B3F"/>
    <w:rsid w:val="66312549"/>
    <w:rsid w:val="66397A67"/>
    <w:rsid w:val="665C112B"/>
    <w:rsid w:val="66875EE0"/>
    <w:rsid w:val="66984CCB"/>
    <w:rsid w:val="670C01C1"/>
    <w:rsid w:val="678455DD"/>
    <w:rsid w:val="679643F4"/>
    <w:rsid w:val="67C00163"/>
    <w:rsid w:val="68710EE3"/>
    <w:rsid w:val="688D12C9"/>
    <w:rsid w:val="689162A6"/>
    <w:rsid w:val="68B257B8"/>
    <w:rsid w:val="69405CFD"/>
    <w:rsid w:val="6951389C"/>
    <w:rsid w:val="698A0CA9"/>
    <w:rsid w:val="69BD05DB"/>
    <w:rsid w:val="69EC4C56"/>
    <w:rsid w:val="69F42D6B"/>
    <w:rsid w:val="6A0C5365"/>
    <w:rsid w:val="6A5C7947"/>
    <w:rsid w:val="6A6D3308"/>
    <w:rsid w:val="6A7F4F7B"/>
    <w:rsid w:val="6A9402CC"/>
    <w:rsid w:val="6AC55297"/>
    <w:rsid w:val="6AF6102C"/>
    <w:rsid w:val="6B114C1A"/>
    <w:rsid w:val="6B2A5A36"/>
    <w:rsid w:val="6B747130"/>
    <w:rsid w:val="6B7B5383"/>
    <w:rsid w:val="6B7F0D8F"/>
    <w:rsid w:val="6BB6752A"/>
    <w:rsid w:val="6BB85749"/>
    <w:rsid w:val="6BE31316"/>
    <w:rsid w:val="6C0D7C3B"/>
    <w:rsid w:val="6C1B1768"/>
    <w:rsid w:val="6DAC0B96"/>
    <w:rsid w:val="6DF9485E"/>
    <w:rsid w:val="6E2C5A0D"/>
    <w:rsid w:val="6F5F48E4"/>
    <w:rsid w:val="6F6019D1"/>
    <w:rsid w:val="6F8C77B6"/>
    <w:rsid w:val="6FC32718"/>
    <w:rsid w:val="70252703"/>
    <w:rsid w:val="70543150"/>
    <w:rsid w:val="705B3889"/>
    <w:rsid w:val="7076728C"/>
    <w:rsid w:val="707E337E"/>
    <w:rsid w:val="70C715EC"/>
    <w:rsid w:val="7118323A"/>
    <w:rsid w:val="71307C87"/>
    <w:rsid w:val="713D0CB0"/>
    <w:rsid w:val="715520FA"/>
    <w:rsid w:val="721A2041"/>
    <w:rsid w:val="72863E4F"/>
    <w:rsid w:val="728B3C94"/>
    <w:rsid w:val="72A67657"/>
    <w:rsid w:val="72B91D1B"/>
    <w:rsid w:val="73000CF9"/>
    <w:rsid w:val="73126A27"/>
    <w:rsid w:val="73146673"/>
    <w:rsid w:val="73712B08"/>
    <w:rsid w:val="73C94A09"/>
    <w:rsid w:val="73DC46E0"/>
    <w:rsid w:val="73F03AA8"/>
    <w:rsid w:val="74123FA8"/>
    <w:rsid w:val="74154608"/>
    <w:rsid w:val="741A26D9"/>
    <w:rsid w:val="746D05F1"/>
    <w:rsid w:val="74D27347"/>
    <w:rsid w:val="74E4025B"/>
    <w:rsid w:val="751D07DD"/>
    <w:rsid w:val="75342426"/>
    <w:rsid w:val="755E7366"/>
    <w:rsid w:val="75615004"/>
    <w:rsid w:val="757B1C85"/>
    <w:rsid w:val="76085095"/>
    <w:rsid w:val="76AE4031"/>
    <w:rsid w:val="76B07C6D"/>
    <w:rsid w:val="771D706E"/>
    <w:rsid w:val="77464ED6"/>
    <w:rsid w:val="775537A9"/>
    <w:rsid w:val="77C2445C"/>
    <w:rsid w:val="78153E8C"/>
    <w:rsid w:val="782F1700"/>
    <w:rsid w:val="78343CE1"/>
    <w:rsid w:val="78366B65"/>
    <w:rsid w:val="788C033F"/>
    <w:rsid w:val="78C47FF0"/>
    <w:rsid w:val="78F718E7"/>
    <w:rsid w:val="79237FB0"/>
    <w:rsid w:val="79801765"/>
    <w:rsid w:val="79BE26D1"/>
    <w:rsid w:val="79BE5BBE"/>
    <w:rsid w:val="79C52AA7"/>
    <w:rsid w:val="79E42E56"/>
    <w:rsid w:val="7AF34F4B"/>
    <w:rsid w:val="7B6332DF"/>
    <w:rsid w:val="7B642DC3"/>
    <w:rsid w:val="7B9E0270"/>
    <w:rsid w:val="7C442459"/>
    <w:rsid w:val="7C7B6F55"/>
    <w:rsid w:val="7CAF622F"/>
    <w:rsid w:val="7CC30F06"/>
    <w:rsid w:val="7D327789"/>
    <w:rsid w:val="7D980474"/>
    <w:rsid w:val="7DFD0298"/>
    <w:rsid w:val="7E0F32C2"/>
    <w:rsid w:val="7E1356DA"/>
    <w:rsid w:val="7EE73054"/>
    <w:rsid w:val="7F246244"/>
    <w:rsid w:val="7F321906"/>
    <w:rsid w:val="7F3839CC"/>
    <w:rsid w:val="7FC53A36"/>
    <w:rsid w:val="7FE54E46"/>
    <w:rsid w:val="7FF53094"/>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Lines="200" w:afterLines="100" w:line="560" w:lineRule="exact"/>
      <w:jc w:val="center"/>
      <w:outlineLvl w:val="2"/>
    </w:pPr>
    <w:rPr>
      <w:sz w:val="44"/>
    </w:rPr>
  </w:style>
  <w:style w:type="character" w:default="1" w:styleId="8">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880" w:firstLineChars="200"/>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8</Pages>
  <Words>510</Words>
  <Characters>2907</Characters>
  <Lines>24</Lines>
  <Paragraphs>6</Paragraphs>
  <TotalTime>0</TotalTime>
  <ScaleCrop>false</ScaleCrop>
  <LinksUpToDate>false</LinksUpToDate>
  <CharactersWithSpaces>3411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2017-02-16T16:38:42Z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