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rPr>
      </w:pPr>
      <w:r>
        <w:rPr>
          <w:rFonts w:hint="eastAsia"/>
          <w:lang w:val="en-US" w:eastAsia="zh-CN"/>
        </w:rPr>
        <w:t>沈阳市防御雷电灾害条例</w:t>
      </w:r>
    </w:p>
    <w:p>
      <w:pPr>
        <w:pStyle w:val="7"/>
        <w:rPr>
          <w:rFonts w:hint="eastAsia"/>
          <w:lang w:val="en-US" w:eastAsia="zh-CN"/>
        </w:rPr>
      </w:pPr>
    </w:p>
    <w:p>
      <w:pPr>
        <w:pStyle w:val="7"/>
        <w:rPr>
          <w:rFonts w:hint="eastAsia"/>
          <w:lang w:val="en-US" w:eastAsia="zh-CN"/>
        </w:rPr>
      </w:pPr>
      <w:r>
        <w:rPr>
          <w:rFonts w:hint="eastAsia"/>
          <w:lang w:val="en-US" w:eastAsia="zh-CN"/>
        </w:rPr>
        <w:t>（2009年7月24日沈阳市第十四届人民代表大会常务委员会第十二次会议通过  2009年9月26日辽宁省第十一届人民代表大会常务委员会第十一次会议批准）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楷体" w:hAnsi="楷体" w:eastAsia="楷体" w:cs="楷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楷体" w:hAnsi="楷体" w:eastAsia="楷体" w:cs="楷体"/>
          <w:kern w:val="2"/>
          <w:sz w:val="32"/>
          <w:szCs w:val="32"/>
          <w:lang w:val="en-US" w:eastAsia="zh-CN" w:bidi="ar"/>
        </w:rPr>
      </w:pPr>
      <w:r>
        <w:rPr>
          <w:rFonts w:hint="eastAsia" w:ascii="楷体" w:hAnsi="楷体" w:eastAsia="楷体" w:cs="楷体"/>
          <w:kern w:val="2"/>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楷体" w:hAnsi="楷体" w:eastAsia="楷体" w:cs="楷体"/>
          <w:kern w:val="2"/>
          <w:sz w:val="32"/>
          <w:szCs w:val="32"/>
          <w:lang w:val="en-US" w:eastAsia="zh-CN" w:bidi="ar"/>
        </w:rPr>
      </w:pPr>
    </w:p>
    <w:p>
      <w:pPr>
        <w:pStyle w:val="10"/>
      </w:pPr>
      <w:r>
        <w:rPr>
          <w:rFonts w:hint="eastAsia"/>
          <w:lang w:val="en-US" w:eastAsia="zh-CN"/>
        </w:rPr>
        <w:fldChar w:fldCharType="begin"/>
      </w:r>
      <w:r>
        <w:rPr>
          <w:rFonts w:hint="eastAsia"/>
          <w:lang w:val="en-US" w:eastAsia="zh-CN"/>
        </w:rPr>
        <w:instrText xml:space="preserve">TOC \o "1-1" \n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_Toc6421 </w:instrText>
      </w:r>
      <w:r>
        <w:rPr>
          <w:rFonts w:hint="eastAsia"/>
          <w:lang w:val="en-US" w:eastAsia="zh-CN"/>
        </w:rPr>
        <w:fldChar w:fldCharType="separate"/>
      </w:r>
      <w:r>
        <w:rPr>
          <w:rFonts w:hint="eastAsia"/>
          <w:lang w:val="en-US" w:eastAsia="zh-CN"/>
        </w:rPr>
        <w:t>第一章  总    则</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_Toc5079 </w:instrText>
      </w:r>
      <w:r>
        <w:rPr>
          <w:rFonts w:hint="eastAsia"/>
          <w:lang w:val="en-US" w:eastAsia="zh-CN"/>
        </w:rPr>
        <w:fldChar w:fldCharType="separate"/>
      </w:r>
      <w:r>
        <w:rPr>
          <w:rFonts w:hint="eastAsia"/>
          <w:lang w:val="en-US" w:eastAsia="zh-CN"/>
        </w:rPr>
        <w:t>第二章  雷电灾害监测预警与风险评估</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_Toc14993 </w:instrText>
      </w:r>
      <w:r>
        <w:rPr>
          <w:rFonts w:hint="eastAsia"/>
          <w:lang w:val="en-US" w:eastAsia="zh-CN"/>
        </w:rPr>
        <w:fldChar w:fldCharType="separate"/>
      </w:r>
      <w:r>
        <w:rPr>
          <w:rFonts w:hint="eastAsia"/>
          <w:lang w:val="en-US" w:eastAsia="zh-CN"/>
        </w:rPr>
        <w:t>第三章  防雷工程和防雷产品</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_Toc23119 </w:instrText>
      </w:r>
      <w:r>
        <w:rPr>
          <w:rFonts w:hint="eastAsia"/>
          <w:lang w:val="en-US" w:eastAsia="zh-CN"/>
        </w:rPr>
        <w:fldChar w:fldCharType="separate"/>
      </w:r>
      <w:r>
        <w:rPr>
          <w:rFonts w:hint="eastAsia"/>
          <w:lang w:val="en-US" w:eastAsia="zh-CN"/>
        </w:rPr>
        <w:t>第四章  防雷装置设计审核和竣工验收</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_Toc29828 </w:instrText>
      </w:r>
      <w:r>
        <w:rPr>
          <w:rFonts w:hint="eastAsia"/>
          <w:lang w:val="en-US" w:eastAsia="zh-CN"/>
        </w:rPr>
        <w:fldChar w:fldCharType="separate"/>
      </w:r>
      <w:r>
        <w:rPr>
          <w:rFonts w:hint="eastAsia"/>
          <w:lang w:val="en-US" w:eastAsia="zh-CN"/>
        </w:rPr>
        <w:t>第五章  防雷装置检测</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_Toc23052 </w:instrText>
      </w:r>
      <w:r>
        <w:rPr>
          <w:rFonts w:hint="eastAsia"/>
          <w:lang w:val="en-US" w:eastAsia="zh-CN"/>
        </w:rPr>
        <w:fldChar w:fldCharType="separate"/>
      </w:r>
      <w:r>
        <w:rPr>
          <w:rFonts w:hint="eastAsia"/>
          <w:lang w:val="en-US" w:eastAsia="zh-CN"/>
        </w:rPr>
        <w:t>第六章  雷电灾害应急救援</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_Toc27563 </w:instrText>
      </w:r>
      <w:r>
        <w:rPr>
          <w:rFonts w:hint="eastAsia"/>
          <w:lang w:val="en-US" w:eastAsia="zh-CN"/>
        </w:rPr>
        <w:fldChar w:fldCharType="separate"/>
      </w:r>
      <w:r>
        <w:rPr>
          <w:rFonts w:hint="eastAsia"/>
          <w:lang w:val="en-US" w:eastAsia="zh-CN"/>
        </w:rPr>
        <w:t>第七章  法律责任</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_Toc5141 </w:instrText>
      </w:r>
      <w:r>
        <w:rPr>
          <w:rFonts w:hint="eastAsia"/>
          <w:lang w:val="en-US" w:eastAsia="zh-CN"/>
        </w:rPr>
        <w:fldChar w:fldCharType="separate"/>
      </w:r>
      <w:r>
        <w:rPr>
          <w:rFonts w:hint="eastAsia"/>
          <w:lang w:val="en-US" w:eastAsia="zh-CN"/>
        </w:rPr>
        <w:t>第八章  附    则</w:t>
      </w:r>
      <w:r>
        <w:rPr>
          <w:rFonts w:hint="eastAsia"/>
          <w:lang w:val="en-US" w:eastAsia="zh-CN"/>
        </w:rPr>
        <w:fldChar w:fldCharType="end"/>
      </w:r>
    </w:p>
    <w:p>
      <w:pPr>
        <w:pStyle w:val="10"/>
        <w:rPr>
          <w:rFonts w:hint="eastAsia" w:ascii="楷体" w:hAnsi="楷体" w:eastAsia="楷体" w:cs="楷体"/>
          <w:kern w:val="2"/>
          <w:szCs w:val="32"/>
          <w:lang w:val="en-US" w:eastAsia="zh-CN" w:bidi="ar"/>
        </w:rPr>
      </w:pPr>
      <w:r>
        <w:rPr>
          <w:rFonts w:hint="eastAsia"/>
          <w:lang w:val="en-US" w:eastAsia="zh-CN"/>
        </w:rPr>
        <w:fldChar w:fldCharType="end"/>
      </w:r>
    </w:p>
    <w:p>
      <w:pPr>
        <w:pStyle w:val="2"/>
        <w:rPr>
          <w:rFonts w:hint="eastAsia"/>
          <w:lang w:val="en-US"/>
        </w:rPr>
      </w:pPr>
      <w:bookmarkStart w:id="0" w:name="_Toc6421"/>
      <w:r>
        <w:rPr>
          <w:rFonts w:hint="eastAsia"/>
          <w:lang w:val="en-US" w:eastAsia="zh-CN"/>
        </w:rPr>
        <w:t>第一章  总    则</w:t>
      </w:r>
      <w:bookmarkEnd w:id="0"/>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第一条</w:t>
      </w:r>
      <w:r>
        <w:rPr>
          <w:rFonts w:hint="eastAsia" w:ascii="仿宋" w:hAnsi="仿宋" w:eastAsia="仿宋" w:cs="仿宋"/>
          <w:kern w:val="2"/>
          <w:sz w:val="32"/>
          <w:szCs w:val="32"/>
          <w:lang w:val="en-US" w:eastAsia="zh-CN" w:bidi="ar"/>
        </w:rPr>
        <w:t xml:space="preserve">  根据《中华人民共和国气象法》等法律、法规的规定，结合本市实际，制定本条例。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第二条</w:t>
      </w:r>
      <w:r>
        <w:rPr>
          <w:rFonts w:hint="eastAsia" w:ascii="仿宋" w:hAnsi="仿宋" w:eastAsia="仿宋" w:cs="仿宋"/>
          <w:kern w:val="2"/>
          <w:sz w:val="32"/>
          <w:szCs w:val="32"/>
          <w:lang w:val="en-US" w:eastAsia="zh-CN" w:bidi="ar"/>
        </w:rPr>
        <w:t xml:space="preserve">  本市行政区域内的雷电监测、雷电灾害预警和防御、防雷装置检测、雷击风险评估以及对雷电灾害研究、调查、鉴定和应急救援等活动，适用本条例。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第三条</w:t>
      </w:r>
      <w:r>
        <w:rPr>
          <w:rFonts w:hint="eastAsia" w:ascii="仿宋" w:hAnsi="仿宋" w:eastAsia="仿宋" w:cs="仿宋"/>
          <w:kern w:val="2"/>
          <w:sz w:val="32"/>
          <w:szCs w:val="32"/>
          <w:lang w:val="en-US" w:eastAsia="zh-CN" w:bidi="ar"/>
        </w:rPr>
        <w:t xml:space="preserve">  市和区、县（市）人民政府领导和协调本行政区域内防御雷电灾害的工作。市气象主管机构负责组织管理本市行政区域内防御雷电灾害工作。各区、县（市）气象主管机构具体负责本行政区域内的防御雷电灾害工作。市和区、县（市）人民政府其他有关部门应当按照各自职责做好防御雷电灾害的有关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第四条</w:t>
      </w:r>
      <w:r>
        <w:rPr>
          <w:rFonts w:hint="eastAsia" w:ascii="仿宋" w:hAnsi="仿宋" w:eastAsia="仿宋" w:cs="仿宋"/>
          <w:kern w:val="2"/>
          <w:sz w:val="32"/>
          <w:szCs w:val="32"/>
          <w:lang w:val="en-US" w:eastAsia="zh-CN" w:bidi="ar"/>
        </w:rPr>
        <w:t xml:space="preserve">  防御雷电灾害工作，实行安全第一、预防为主、防治结合的原则。</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第五条</w:t>
      </w:r>
      <w:r>
        <w:rPr>
          <w:rFonts w:hint="eastAsia" w:ascii="仿宋" w:hAnsi="仿宋" w:eastAsia="仿宋" w:cs="仿宋"/>
          <w:kern w:val="2"/>
          <w:sz w:val="32"/>
          <w:szCs w:val="32"/>
          <w:lang w:val="en-US" w:eastAsia="zh-CN" w:bidi="ar"/>
        </w:rPr>
        <w:t xml:space="preserve">  市和区、县（市）人民政府应当组织编制防御雷电灾害规划，并纳入城市总体规划。市和区、县（市）人民政府应当将防御雷电灾害经费纳入本级财政预算，保证防御雷电灾害经费的投入，提高雷电灾害监测预警和防御能力。</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第六条</w:t>
      </w:r>
      <w:r>
        <w:rPr>
          <w:rFonts w:hint="eastAsia" w:ascii="仿宋" w:hAnsi="仿宋" w:eastAsia="仿宋" w:cs="仿宋"/>
          <w:kern w:val="2"/>
          <w:sz w:val="32"/>
          <w:szCs w:val="32"/>
          <w:lang w:val="en-US" w:eastAsia="zh-CN" w:bidi="ar"/>
        </w:rPr>
        <w:t xml:space="preserve">  市和区、县（市）人民政府应当鼓励和支持防御雷电灾害科学技术研究，推广和应用先进的防御雷电灾害技术，宣传普及防御雷电灾害的科学知识，增强全社会防御雷电灾害意识。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1" w:name="_Toc5079"/>
      <w:r>
        <w:rPr>
          <w:rFonts w:hint="eastAsia"/>
          <w:lang w:val="en-US" w:eastAsia="zh-CN"/>
        </w:rPr>
        <w:t>第二章  雷电灾害监测预警与风险评估</w:t>
      </w:r>
      <w:bookmarkEnd w:id="1"/>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第七条</w:t>
      </w:r>
      <w:r>
        <w:rPr>
          <w:rFonts w:hint="eastAsia" w:ascii="仿宋" w:hAnsi="仿宋" w:eastAsia="仿宋" w:cs="仿宋"/>
          <w:kern w:val="2"/>
          <w:sz w:val="32"/>
          <w:szCs w:val="32"/>
          <w:lang w:val="en-US" w:eastAsia="zh-CN" w:bidi="ar"/>
        </w:rPr>
        <w:t xml:space="preserve">  市和区、县（市）人民政府应当加强本行政区域内雷电监测与预警系统的建设；组织编制本地区雷电灾害应急预案。</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第八条 </w:t>
      </w:r>
      <w:r>
        <w:rPr>
          <w:rFonts w:hint="eastAsia" w:ascii="仿宋" w:hAnsi="仿宋" w:eastAsia="仿宋" w:cs="仿宋"/>
          <w:kern w:val="2"/>
          <w:sz w:val="32"/>
          <w:szCs w:val="32"/>
          <w:lang w:val="en-US" w:eastAsia="zh-CN" w:bidi="ar"/>
        </w:rPr>
        <w:t xml:space="preserve"> 市和区、县（市）气象主管机构应当加强雷电监测、预报，及时向社会发布雷电灾害预警信息。</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第九条</w:t>
      </w:r>
      <w:r>
        <w:rPr>
          <w:rFonts w:hint="eastAsia" w:ascii="仿宋" w:hAnsi="仿宋" w:eastAsia="仿宋" w:cs="仿宋"/>
          <w:kern w:val="2"/>
          <w:sz w:val="32"/>
          <w:szCs w:val="32"/>
          <w:lang w:val="en-US" w:eastAsia="zh-CN" w:bidi="ar"/>
        </w:rPr>
        <w:t xml:space="preserve">  任何组织和个人不得侵占、毁坏或者擅自移动雷电监测和预警设施，不得危害雷电监测的探测环境。</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第十条 </w:t>
      </w:r>
      <w:r>
        <w:rPr>
          <w:rFonts w:hint="eastAsia" w:ascii="仿宋" w:hAnsi="仿宋" w:eastAsia="仿宋" w:cs="仿宋"/>
          <w:kern w:val="2"/>
          <w:sz w:val="32"/>
          <w:szCs w:val="32"/>
          <w:lang w:val="en-US" w:eastAsia="zh-CN" w:bidi="ar"/>
        </w:rPr>
        <w:t xml:space="preserve"> 气象主管机构应当按照有关技术标准、技术规范对下列新建、改建和扩建工程项目进行雷击风险评估：（一）易燃易爆物品、危险化学品等危险物品的生产、经营、储存场所；（二）体育场馆、影剧院、大型商场、宾馆、医院，学校、车站、机场等人员密集场所；（三）供水、供气、供电、供热工程；（四）高层建筑、各类发射塔、高耸观光塔、通讯枢纽工程；（五）法律、法规规定的其他应当进行雷击风险评估的工程项目。</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第十一条</w:t>
      </w:r>
      <w:r>
        <w:rPr>
          <w:rFonts w:hint="eastAsia" w:ascii="仿宋" w:hAnsi="仿宋" w:eastAsia="仿宋" w:cs="仿宋"/>
          <w:kern w:val="2"/>
          <w:sz w:val="32"/>
          <w:szCs w:val="32"/>
          <w:lang w:val="en-US" w:eastAsia="zh-CN" w:bidi="ar"/>
        </w:rPr>
        <w:t xml:space="preserve">  气象主管机构应当自收到雷击风险评估申请之日起10个工作日内完成评估并出具评估报告。雷击风险评估报告应当包含下列内容：（一）项目所在地雷电活动规律和地理、地质、土壤、环境等状况；（二）雷电灾害可能造成危害的分析、预测和评估；（三）防御和减轻雷电灾害的建议、对策和措施；（四）雷击风险评估结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2" w:name="_Toc14993"/>
      <w:r>
        <w:rPr>
          <w:rFonts w:hint="eastAsia"/>
          <w:lang w:val="en-US" w:eastAsia="zh-CN"/>
        </w:rPr>
        <w:t>第三章  防雷工程和防雷产品</w:t>
      </w:r>
      <w:bookmarkEnd w:id="2"/>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第十二条</w:t>
      </w:r>
      <w:r>
        <w:rPr>
          <w:rFonts w:hint="eastAsia" w:ascii="仿宋" w:hAnsi="仿宋" w:eastAsia="仿宋" w:cs="仿宋"/>
          <w:kern w:val="2"/>
          <w:sz w:val="32"/>
          <w:szCs w:val="32"/>
          <w:lang w:val="en-US" w:eastAsia="zh-CN" w:bidi="ar"/>
        </w:rPr>
        <w:t xml:space="preserve">  下列场所或者设施，应当按照国家规定的技术标准和技术规范安装防雷装置：（一）易燃易爆等危险化学品的生产、储存场所或者设施；（二）重要的计算机信息系统、电力、广播电视、通信设施，以及易遭受雷击的其他重要公共设施；（三）国家《建筑物防雷设计规范》规定的一、二、三类防雷建筑物、构筑物。</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第十三条</w:t>
      </w:r>
      <w:r>
        <w:rPr>
          <w:rFonts w:hint="eastAsia" w:ascii="仿宋" w:hAnsi="仿宋" w:eastAsia="仿宋" w:cs="仿宋"/>
          <w:kern w:val="2"/>
          <w:sz w:val="32"/>
          <w:szCs w:val="32"/>
          <w:lang w:val="en-US" w:eastAsia="zh-CN" w:bidi="ar"/>
        </w:rPr>
        <w:t xml:space="preserve">  新建、改建和扩建工程安装防雷装置，必须与主体工程同时设计、同时施工、同时投入使用。防雷装置的建设投资，应当纳入建设项目概算。</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第十四条</w:t>
      </w:r>
      <w:r>
        <w:rPr>
          <w:rFonts w:hint="eastAsia" w:ascii="仿宋" w:hAnsi="仿宋" w:eastAsia="仿宋" w:cs="仿宋"/>
          <w:kern w:val="2"/>
          <w:sz w:val="32"/>
          <w:szCs w:val="32"/>
          <w:lang w:val="en-US" w:eastAsia="zh-CN" w:bidi="ar"/>
        </w:rPr>
        <w:t xml:space="preserve">  从事防雷工程专业设计或者施工的单位，应当按照有关规定取得相应的资质证书，并在资质等级范围内进行专业设计或者施工。防雷装置的设计、施工应当符合有关的技术标准和规范。禁止将防雷工程转包或者违法分包。</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第十五条</w:t>
      </w:r>
      <w:r>
        <w:rPr>
          <w:rFonts w:hint="eastAsia" w:ascii="仿宋" w:hAnsi="仿宋" w:eastAsia="仿宋" w:cs="仿宋"/>
          <w:kern w:val="2"/>
          <w:sz w:val="32"/>
          <w:szCs w:val="32"/>
          <w:lang w:val="en-US" w:eastAsia="zh-CN" w:bidi="ar"/>
        </w:rPr>
        <w:t xml:space="preserve">  安装防雷装置使用的防雷产品，应当具备下列条件：（一）符合国务院气象主管机构规定的使用要求；（二）通过正式鉴定，并经国务院气象主管机构授权的检验机构测试合格；（三）经省气象主管机构备案。</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3" w:name="_Toc23119"/>
      <w:r>
        <w:rPr>
          <w:rFonts w:hint="eastAsia"/>
          <w:lang w:val="en-US" w:eastAsia="zh-CN"/>
        </w:rPr>
        <w:t>第四章  防雷装置设计审核和竣工验收</w:t>
      </w:r>
      <w:bookmarkEnd w:id="3"/>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第十六条</w:t>
      </w:r>
      <w:r>
        <w:rPr>
          <w:rFonts w:hint="eastAsia" w:ascii="仿宋" w:hAnsi="仿宋" w:eastAsia="仿宋" w:cs="仿宋"/>
          <w:kern w:val="2"/>
          <w:sz w:val="32"/>
          <w:szCs w:val="32"/>
          <w:lang w:val="en-US" w:eastAsia="zh-CN" w:bidi="ar"/>
        </w:rPr>
        <w:t xml:space="preserve">  防雷装置实行设计审核和竣工验收审核制度。防雷装置设计未经审核或者审核不合格的，不得施工；防雷装置未经竣工验收或者验收不合格的，不得投入使用。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第十七条</w:t>
      </w:r>
      <w:r>
        <w:rPr>
          <w:rFonts w:hint="eastAsia" w:ascii="仿宋" w:hAnsi="仿宋" w:eastAsia="仿宋" w:cs="仿宋"/>
          <w:kern w:val="2"/>
          <w:sz w:val="32"/>
          <w:szCs w:val="32"/>
          <w:lang w:val="en-US" w:eastAsia="zh-CN" w:bidi="ar"/>
        </w:rPr>
        <w:t xml:space="preserve">  申请防雷装置设计审核，应当提交下列资料：（一）《防雷装置设计审核申请书》；（二）防雷工程设计单位资质证；（三）防雷装置设计、施工图；（四）经当地气象主管机构认可的防雷专业技术机构出具的有关技术评价意见。本条例第十条所列建设项目，还应当提交雷击风险评估报告。</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第十八条</w:t>
      </w:r>
      <w:r>
        <w:rPr>
          <w:rFonts w:hint="eastAsia" w:ascii="仿宋" w:hAnsi="仿宋" w:eastAsia="仿宋" w:cs="仿宋"/>
          <w:kern w:val="2"/>
          <w:sz w:val="32"/>
          <w:szCs w:val="32"/>
          <w:lang w:val="en-US" w:eastAsia="zh-CN" w:bidi="ar"/>
        </w:rPr>
        <w:t xml:space="preserve">  气象主管机构受理防雷装置设计审核申请，应当自受理申请之日起5个工作日内完成审核工作。对审核合格的，颁发《防雷装置设计核准书》；对审核不合格的，出具《防雷装置设计修改意见书》。经审核不合格的，设计单位进行设计修改后，按照原程序重新申请审核。</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第十九条</w:t>
      </w:r>
      <w:r>
        <w:rPr>
          <w:rFonts w:hint="eastAsia" w:ascii="仿宋" w:hAnsi="仿宋" w:eastAsia="仿宋" w:cs="仿宋"/>
          <w:kern w:val="2"/>
          <w:sz w:val="32"/>
          <w:szCs w:val="32"/>
          <w:lang w:val="en-US" w:eastAsia="zh-CN" w:bidi="ar"/>
        </w:rPr>
        <w:t xml:space="preserve">  防雷工程的施工应当按照气象主管机构核准的设计方案进行，不得擅自变更。确需变更和修改设计的，应当重新履行审核手续。</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第二十条</w:t>
      </w:r>
      <w:r>
        <w:rPr>
          <w:rFonts w:hint="eastAsia" w:ascii="仿宋" w:hAnsi="仿宋" w:eastAsia="仿宋" w:cs="仿宋"/>
          <w:kern w:val="2"/>
          <w:sz w:val="32"/>
          <w:szCs w:val="32"/>
          <w:lang w:val="en-US" w:eastAsia="zh-CN" w:bidi="ar"/>
        </w:rPr>
        <w:t xml:space="preserve">  申请防雷装置竣工验收，应当提交下列资料：（一）《防雷装置竣工验收申请书》；（二）《防雷装置设计核准书》；（三）防雷工程施工单位资质证；（四）防雷工程竣工图；（五）《防雷装置检测报告》。</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第二十一条</w:t>
      </w:r>
      <w:r>
        <w:rPr>
          <w:rFonts w:hint="eastAsia" w:ascii="仿宋" w:hAnsi="仿宋" w:eastAsia="仿宋" w:cs="仿宋"/>
          <w:kern w:val="2"/>
          <w:sz w:val="32"/>
          <w:szCs w:val="32"/>
          <w:lang w:val="en-US" w:eastAsia="zh-CN" w:bidi="ar"/>
        </w:rPr>
        <w:t xml:space="preserve">  气象主管机构受理防雷装置竣工验收申请，应当自受理申请之日起5个工作日内完成验收工作。对验收合格的，颁发《防雷装置验收合格证》；对验收不合格的，出具《防雷装置整改意见书》。经验收不合格的，整改完成后，按照原程序重新申请验收。</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4" w:name="_Toc29828"/>
      <w:r>
        <w:rPr>
          <w:rFonts w:hint="eastAsia"/>
          <w:lang w:val="en-US" w:eastAsia="zh-CN"/>
        </w:rPr>
        <w:t>第五章  防雷装置检测</w:t>
      </w:r>
      <w:bookmarkEnd w:id="4"/>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第二十二条</w:t>
      </w:r>
      <w:r>
        <w:rPr>
          <w:rFonts w:hint="eastAsia" w:ascii="仿宋" w:hAnsi="仿宋" w:eastAsia="仿宋" w:cs="仿宋"/>
          <w:kern w:val="2"/>
          <w:sz w:val="32"/>
          <w:szCs w:val="32"/>
          <w:lang w:val="en-US" w:eastAsia="zh-CN" w:bidi="ar"/>
        </w:rPr>
        <w:t xml:space="preserve">  对已投入使用的防雷装置实行定期检测制度。防雷装置检测应当每年进行一次；对爆炸危险环境场所的防雷装置检测应当每半年进行一次。</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第二十三条</w:t>
      </w:r>
      <w:r>
        <w:rPr>
          <w:rFonts w:hint="eastAsia" w:ascii="仿宋" w:hAnsi="仿宋" w:eastAsia="仿宋" w:cs="仿宋"/>
          <w:kern w:val="2"/>
          <w:sz w:val="32"/>
          <w:szCs w:val="32"/>
          <w:lang w:val="en-US" w:eastAsia="zh-CN" w:bidi="ar"/>
        </w:rPr>
        <w:t xml:space="preserve">  防雷装置检测，必须由具有相应防雷装置检测资质的专门机构进行。</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第二十四条</w:t>
      </w:r>
      <w:r>
        <w:rPr>
          <w:rFonts w:hint="eastAsia" w:ascii="仿宋" w:hAnsi="仿宋" w:eastAsia="仿宋" w:cs="仿宋"/>
          <w:kern w:val="2"/>
          <w:sz w:val="32"/>
          <w:szCs w:val="32"/>
          <w:lang w:val="en-US" w:eastAsia="zh-CN" w:bidi="ar"/>
        </w:rPr>
        <w:t xml:space="preserve">  防雷装置检测，应当按照有关法律、法规和技术标准、规范进行，并按规定出具检测报告。检测报告应当真实、准确、公正。</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第二十五条  </w:t>
      </w:r>
      <w:r>
        <w:rPr>
          <w:rFonts w:hint="eastAsia" w:ascii="仿宋" w:hAnsi="仿宋" w:eastAsia="仿宋" w:cs="仿宋"/>
          <w:kern w:val="2"/>
          <w:sz w:val="32"/>
          <w:szCs w:val="32"/>
          <w:lang w:val="en-US" w:eastAsia="zh-CN" w:bidi="ar"/>
        </w:rPr>
        <w:t>防雷装置的产权人或者使用人应当做好防雷装置的日常维护工作。防雷装置存在隐患或者发生故障，应当及时修复，并向具有防雷检测资质的机构申请重新检测。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 xml:space="preserve">第二十六条 </w:t>
      </w:r>
      <w:r>
        <w:rPr>
          <w:rFonts w:hint="eastAsia" w:ascii="仿宋" w:hAnsi="仿宋" w:eastAsia="仿宋" w:cs="仿宋"/>
          <w:kern w:val="2"/>
          <w:sz w:val="32"/>
          <w:szCs w:val="32"/>
          <w:lang w:val="en-US" w:eastAsia="zh-CN" w:bidi="ar"/>
        </w:rPr>
        <w:t xml:space="preserve"> 对防雷装置检测不合格的，气象主管机构应当责令其限期改正，并对整改情况进行监督检查。</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5" w:name="_Toc23052"/>
      <w:r>
        <w:rPr>
          <w:rFonts w:hint="eastAsia"/>
          <w:lang w:val="en-US" w:eastAsia="zh-CN"/>
        </w:rPr>
        <w:t>第六章  雷电灾害应急救援</w:t>
      </w:r>
      <w:bookmarkEnd w:id="5"/>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第二十七条</w:t>
      </w:r>
      <w:r>
        <w:rPr>
          <w:rFonts w:hint="eastAsia" w:ascii="仿宋" w:hAnsi="仿宋" w:eastAsia="仿宋" w:cs="仿宋"/>
          <w:kern w:val="2"/>
          <w:sz w:val="32"/>
          <w:szCs w:val="32"/>
          <w:lang w:val="en-US" w:eastAsia="zh-CN" w:bidi="ar"/>
        </w:rPr>
        <w:t xml:space="preserve">  发现雷电灾害的单位和个人，应当及时向当地人民政府和气象主管机构报告。有关单位和人员对雷电灾害不得迟报、谎报、瞒报、漏报。</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第二十八条</w:t>
      </w:r>
      <w:r>
        <w:rPr>
          <w:rFonts w:hint="eastAsia" w:ascii="仿宋" w:hAnsi="仿宋" w:eastAsia="仿宋" w:cs="仿宋"/>
          <w:kern w:val="2"/>
          <w:sz w:val="32"/>
          <w:szCs w:val="32"/>
          <w:lang w:val="en-US" w:eastAsia="zh-CN" w:bidi="ar"/>
        </w:rPr>
        <w:t xml:space="preserve">  市和区、县（市）人民政府接到雷电灾害报告后，应当立即采取措施，启动雷电灾害应急救援预案，组织有关单位展开应急救援。有关单位和个人应当配合雷电灾害救援工作，为实施救援工作提供便利条件。</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第二十九条 </w:t>
      </w:r>
      <w:r>
        <w:rPr>
          <w:rFonts w:hint="eastAsia" w:ascii="仿宋" w:hAnsi="仿宋" w:eastAsia="仿宋" w:cs="仿宋"/>
          <w:kern w:val="2"/>
          <w:sz w:val="32"/>
          <w:szCs w:val="32"/>
          <w:lang w:val="en-US" w:eastAsia="zh-CN" w:bidi="ar"/>
        </w:rPr>
        <w:t xml:space="preserve"> 雷电灾害发生后，市和区、县（市）人民政府应当组织气象主管机构和其他有关部门对灾害发生的情况迅速展开调查，对灾害造成人员伤亡和重大财产损失的情况进行登记、鉴定，查明灾害的性质和责任，提出整改措施，追究责任单位和责任人员的责任。受灾单位和个人应当配合调查工作，如实提供有关情况。</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第三十条</w:t>
      </w:r>
      <w:r>
        <w:rPr>
          <w:rFonts w:hint="eastAsia" w:ascii="仿宋" w:hAnsi="仿宋" w:eastAsia="仿宋" w:cs="仿宋"/>
          <w:kern w:val="2"/>
          <w:sz w:val="32"/>
          <w:szCs w:val="32"/>
          <w:lang w:val="en-US" w:eastAsia="zh-CN" w:bidi="ar"/>
        </w:rPr>
        <w:t xml:space="preserve">  气象主管机构应当及时向当地人民政府和上级气象主管机构上报本行政区域内的重大雷电灾情和年度雷电灾害情况。</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6" w:name="_Toc27563"/>
      <w:r>
        <w:rPr>
          <w:rFonts w:hint="eastAsia"/>
          <w:lang w:val="en-US" w:eastAsia="zh-CN"/>
        </w:rPr>
        <w:t>第七章  法律责任</w:t>
      </w:r>
      <w:bookmarkEnd w:id="6"/>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第三十一条</w:t>
      </w:r>
      <w:r>
        <w:rPr>
          <w:rFonts w:hint="eastAsia" w:ascii="仿宋" w:hAnsi="仿宋" w:eastAsia="仿宋" w:cs="仿宋"/>
          <w:kern w:val="2"/>
          <w:sz w:val="32"/>
          <w:szCs w:val="32"/>
          <w:lang w:val="en-US" w:eastAsia="zh-CN" w:bidi="ar"/>
        </w:rPr>
        <w:t xml:space="preserve">  违反本条例规定，侵占、毁坏或者擅自移动雷电监测和预警设施的，由气象主管机构责令停止违法行为，限期恢复原状或者采取其他补救措施，可以并处5000元以上5万元以下的罚款；造成损失的，依法承担赔偿责任；构成犯罪的，依法追究刑事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第三十二条</w:t>
      </w:r>
      <w:r>
        <w:rPr>
          <w:rFonts w:hint="eastAsia" w:ascii="仿宋" w:hAnsi="仿宋" w:eastAsia="仿宋" w:cs="仿宋"/>
          <w:kern w:val="2"/>
          <w:sz w:val="32"/>
          <w:szCs w:val="32"/>
          <w:lang w:val="en-US" w:eastAsia="zh-CN" w:bidi="ar"/>
        </w:rPr>
        <w:t xml:space="preserve">  违反本条例规定，有下列行为之一的，由气象主管机构责令改正，给予警告，可以并处3000元以上3万元以下的罚款；造成损失的，依法承担赔偿责任；构成犯罪的，依法追究刑事责任：（一）应当安装防雷装置而拒不安装的；（二）不具备防雷装置检测、防雷工程专业设计或者施工资质，擅自从事防雷装置检测、防雷工程专业设计或者施工活动的；（三）超出防雷工程专业设计或者施工资质等级从事防雷工程专业设计或者施工活动的；（四）防雷装置设计未经当地气象主管机构审核或者审核不合格，擅自施工的；（五）防雷装置未经当地气象主管机构验收或者验收不合格，擅自投入使用的；（六）拒绝进行防雷装置检测或者经检测不合格又拒不整改的；（七）对重大雷电灾害事故隐瞒不报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第三十三条</w:t>
      </w:r>
      <w:r>
        <w:rPr>
          <w:rFonts w:hint="eastAsia" w:ascii="仿宋" w:hAnsi="仿宋" w:eastAsia="仿宋" w:cs="仿宋"/>
          <w:kern w:val="2"/>
          <w:sz w:val="32"/>
          <w:szCs w:val="32"/>
          <w:lang w:val="en-US" w:eastAsia="zh-CN" w:bidi="ar"/>
        </w:rPr>
        <w:t xml:space="preserve">  违反本条例规定，导致雷击造成火灾、爆炸、人员伤亡以及国家财产重大损失的，由主管部门给予直接责任人员行政处分；构成犯罪的，依法追究刑事责任。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第三十四条</w:t>
      </w:r>
      <w:r>
        <w:rPr>
          <w:rFonts w:hint="eastAsia" w:ascii="仿宋" w:hAnsi="仿宋" w:eastAsia="仿宋" w:cs="仿宋"/>
          <w:kern w:val="2"/>
          <w:sz w:val="32"/>
          <w:szCs w:val="32"/>
          <w:lang w:val="en-US" w:eastAsia="zh-CN" w:bidi="ar"/>
        </w:rPr>
        <w:t xml:space="preserve">  防雷工作人员由于玩忽职守，导致重大雷电灾害事故的，由所在单位依法给予行政处分；致使国家利益和人民生命财产遭到重大损失，构成犯罪的，依法追究刑事责任。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第三十五条</w:t>
      </w:r>
      <w:r>
        <w:rPr>
          <w:rFonts w:hint="eastAsia" w:ascii="仿宋" w:hAnsi="仿宋" w:eastAsia="仿宋" w:cs="仿宋"/>
          <w:kern w:val="2"/>
          <w:sz w:val="32"/>
          <w:szCs w:val="32"/>
          <w:lang w:val="en-US" w:eastAsia="zh-CN" w:bidi="ar"/>
        </w:rPr>
        <w:t xml:space="preserve">  当事人对行政处罚决定不服的，可以依法申请行政复议或者提起行政</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Fonts w:hint="eastAsia" w:ascii="仿宋" w:hAnsi="仿宋" w:eastAsia="仿宋" w:cs="仿宋"/>
          <w:kern w:val="2"/>
          <w:sz w:val="32"/>
          <w:szCs w:val="32"/>
          <w:lang w:val="en-US" w:eastAsia="zh-CN" w:bidi="ar"/>
        </w:rPr>
        <w:t>诉讼；逾期不申请行政复议也不提起行政诉讼又不履行行政处罚决定的，由作出处罚决定的气象主管机构申请人民法院强制执行。</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bookmarkStart w:id="8" w:name="_GoBack"/>
      <w:bookmarkEnd w:id="8"/>
    </w:p>
    <w:p>
      <w:pPr>
        <w:pStyle w:val="2"/>
        <w:rPr>
          <w:rFonts w:hint="eastAsia"/>
          <w:lang w:val="en-US"/>
        </w:rPr>
      </w:pPr>
      <w:bookmarkStart w:id="7" w:name="_Toc5141"/>
      <w:r>
        <w:rPr>
          <w:rFonts w:hint="eastAsia"/>
          <w:lang w:val="en-US" w:eastAsia="zh-CN"/>
        </w:rPr>
        <w:t>第八章  附    则</w:t>
      </w:r>
      <w:bookmarkEnd w:id="7"/>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第三十六条 </w:t>
      </w:r>
      <w:r>
        <w:rPr>
          <w:rFonts w:hint="eastAsia" w:ascii="仿宋" w:hAnsi="仿宋" w:eastAsia="仿宋" w:cs="仿宋"/>
          <w:kern w:val="2"/>
          <w:sz w:val="32"/>
          <w:szCs w:val="32"/>
          <w:lang w:val="en-US" w:eastAsia="zh-CN" w:bidi="ar"/>
        </w:rPr>
        <w:t xml:space="preserve"> 本条例所称防雷装置，是指由接闪器、引下线、接地线、接地体以及其他接连导体构成的具有防御直击雷性能的专业系统，或者由电磁屏蔽、电涌保护器、等电位连接、共用接地网以及其他连接导体构成的具有防御雷电感应和雷电波侵入性能的专业系统。</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第三十七条  </w:t>
      </w:r>
      <w:r>
        <w:rPr>
          <w:rFonts w:hint="eastAsia" w:ascii="仿宋" w:hAnsi="仿宋" w:eastAsia="仿宋" w:cs="仿宋"/>
          <w:kern w:val="2"/>
          <w:sz w:val="32"/>
          <w:szCs w:val="32"/>
          <w:lang w:val="en-US" w:eastAsia="zh-CN" w:bidi="ar"/>
        </w:rPr>
        <w:t>本条例自2009年11月1日起施行。</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p>
      <w:pPr>
        <w:spacing w:line="560" w:lineRule="exact"/>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fill on="f" focussize="0,0"/>
              <v:stroke on="f"/>
              <v:imagedata o:title=""/>
              <o:lock v:ext="edit" aspectratio="f"/>
              <v:textbox inset="0mm,0mm,0mm,0mm" style="mso-fit-shape-to-text:t;">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51E8"/>
    <w:rsid w:val="00F0648C"/>
    <w:rsid w:val="00F07301"/>
    <w:rsid w:val="00F07CB3"/>
    <w:rsid w:val="00F1162A"/>
    <w:rsid w:val="00F12342"/>
    <w:rsid w:val="00F12359"/>
    <w:rsid w:val="00F130AF"/>
    <w:rsid w:val="00F21F94"/>
    <w:rsid w:val="00F23384"/>
    <w:rsid w:val="00F23B91"/>
    <w:rsid w:val="00F25BEF"/>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F29FF"/>
    <w:rsid w:val="01B07530"/>
    <w:rsid w:val="01C93546"/>
    <w:rsid w:val="022A532B"/>
    <w:rsid w:val="02706198"/>
    <w:rsid w:val="02BB10C4"/>
    <w:rsid w:val="02E335AF"/>
    <w:rsid w:val="034E4A22"/>
    <w:rsid w:val="037173F5"/>
    <w:rsid w:val="03E059D2"/>
    <w:rsid w:val="046B7EF9"/>
    <w:rsid w:val="047562DE"/>
    <w:rsid w:val="04900C53"/>
    <w:rsid w:val="049722EE"/>
    <w:rsid w:val="051A30BF"/>
    <w:rsid w:val="051B4077"/>
    <w:rsid w:val="053068BE"/>
    <w:rsid w:val="05BD73DC"/>
    <w:rsid w:val="061B56B0"/>
    <w:rsid w:val="06611DC8"/>
    <w:rsid w:val="06742669"/>
    <w:rsid w:val="068F1C88"/>
    <w:rsid w:val="06A52A2F"/>
    <w:rsid w:val="06BB1A3E"/>
    <w:rsid w:val="06D27684"/>
    <w:rsid w:val="06F47A3E"/>
    <w:rsid w:val="06FE4C7B"/>
    <w:rsid w:val="07C466F9"/>
    <w:rsid w:val="07F10DC0"/>
    <w:rsid w:val="07FE6FB6"/>
    <w:rsid w:val="080D3997"/>
    <w:rsid w:val="082A37BE"/>
    <w:rsid w:val="08935BC4"/>
    <w:rsid w:val="08E64EDB"/>
    <w:rsid w:val="08F76E4E"/>
    <w:rsid w:val="09303886"/>
    <w:rsid w:val="094E2166"/>
    <w:rsid w:val="09545708"/>
    <w:rsid w:val="09B537A1"/>
    <w:rsid w:val="0A8C3D2E"/>
    <w:rsid w:val="0AAD4A9B"/>
    <w:rsid w:val="0AF62434"/>
    <w:rsid w:val="0B201CF0"/>
    <w:rsid w:val="0B4724B0"/>
    <w:rsid w:val="0BAC149A"/>
    <w:rsid w:val="0C320844"/>
    <w:rsid w:val="0C58755E"/>
    <w:rsid w:val="0C6E62A7"/>
    <w:rsid w:val="0CAD576F"/>
    <w:rsid w:val="0D495165"/>
    <w:rsid w:val="0D516708"/>
    <w:rsid w:val="0D705D65"/>
    <w:rsid w:val="0D970C3A"/>
    <w:rsid w:val="0DDF6E30"/>
    <w:rsid w:val="0DE04D9C"/>
    <w:rsid w:val="0F0732D8"/>
    <w:rsid w:val="0F1A630E"/>
    <w:rsid w:val="0F2A4A63"/>
    <w:rsid w:val="0FE65D02"/>
    <w:rsid w:val="101843A9"/>
    <w:rsid w:val="10627B38"/>
    <w:rsid w:val="10836A79"/>
    <w:rsid w:val="10A646F2"/>
    <w:rsid w:val="10F055B0"/>
    <w:rsid w:val="113A565D"/>
    <w:rsid w:val="11A3282F"/>
    <w:rsid w:val="11BF194F"/>
    <w:rsid w:val="11E526F8"/>
    <w:rsid w:val="12032FD1"/>
    <w:rsid w:val="12501663"/>
    <w:rsid w:val="12921963"/>
    <w:rsid w:val="12976BF4"/>
    <w:rsid w:val="12FB32D9"/>
    <w:rsid w:val="131D114D"/>
    <w:rsid w:val="13675AF7"/>
    <w:rsid w:val="13881CB2"/>
    <w:rsid w:val="13AF0DB0"/>
    <w:rsid w:val="13B84C12"/>
    <w:rsid w:val="13D6470E"/>
    <w:rsid w:val="14023069"/>
    <w:rsid w:val="14093F1B"/>
    <w:rsid w:val="140E03CB"/>
    <w:rsid w:val="14572D96"/>
    <w:rsid w:val="14725DF3"/>
    <w:rsid w:val="14BA20EB"/>
    <w:rsid w:val="14E4537D"/>
    <w:rsid w:val="152A714F"/>
    <w:rsid w:val="156D2257"/>
    <w:rsid w:val="15883D87"/>
    <w:rsid w:val="158A4D68"/>
    <w:rsid w:val="15AE338E"/>
    <w:rsid w:val="15D26080"/>
    <w:rsid w:val="160C6692"/>
    <w:rsid w:val="166F2CEE"/>
    <w:rsid w:val="168738C3"/>
    <w:rsid w:val="168C6C88"/>
    <w:rsid w:val="169C4C1E"/>
    <w:rsid w:val="16DE4F0A"/>
    <w:rsid w:val="17072161"/>
    <w:rsid w:val="171D4256"/>
    <w:rsid w:val="17305B1F"/>
    <w:rsid w:val="185D3EB2"/>
    <w:rsid w:val="18AD19C0"/>
    <w:rsid w:val="18F97311"/>
    <w:rsid w:val="19025465"/>
    <w:rsid w:val="192201FD"/>
    <w:rsid w:val="1930599F"/>
    <w:rsid w:val="194467B3"/>
    <w:rsid w:val="194739B0"/>
    <w:rsid w:val="194E1DDE"/>
    <w:rsid w:val="19A9569B"/>
    <w:rsid w:val="19BE4516"/>
    <w:rsid w:val="19C8553A"/>
    <w:rsid w:val="19EF167F"/>
    <w:rsid w:val="1A0B1E27"/>
    <w:rsid w:val="1A234E77"/>
    <w:rsid w:val="1A2C240B"/>
    <w:rsid w:val="1A513FF9"/>
    <w:rsid w:val="1ACC509D"/>
    <w:rsid w:val="1ADB0DA2"/>
    <w:rsid w:val="1B06088A"/>
    <w:rsid w:val="1B220777"/>
    <w:rsid w:val="1B574B73"/>
    <w:rsid w:val="1B676744"/>
    <w:rsid w:val="1BC13337"/>
    <w:rsid w:val="1BF6420E"/>
    <w:rsid w:val="1C3E231F"/>
    <w:rsid w:val="1C5E3770"/>
    <w:rsid w:val="1C6540F3"/>
    <w:rsid w:val="1CAC6918"/>
    <w:rsid w:val="1CB53191"/>
    <w:rsid w:val="1CD220F0"/>
    <w:rsid w:val="1CEB540E"/>
    <w:rsid w:val="1D5E4B71"/>
    <w:rsid w:val="1E1B06B9"/>
    <w:rsid w:val="1EBF613B"/>
    <w:rsid w:val="1EC36185"/>
    <w:rsid w:val="1F435EC9"/>
    <w:rsid w:val="1F503903"/>
    <w:rsid w:val="1F786767"/>
    <w:rsid w:val="1FA4765D"/>
    <w:rsid w:val="1FB16189"/>
    <w:rsid w:val="1FCF4B1D"/>
    <w:rsid w:val="1FD646DD"/>
    <w:rsid w:val="1FE2166B"/>
    <w:rsid w:val="201D7FEC"/>
    <w:rsid w:val="20357325"/>
    <w:rsid w:val="204C24C3"/>
    <w:rsid w:val="20702194"/>
    <w:rsid w:val="20D005C2"/>
    <w:rsid w:val="21553C7F"/>
    <w:rsid w:val="21B46EA8"/>
    <w:rsid w:val="222D2EDD"/>
    <w:rsid w:val="22320694"/>
    <w:rsid w:val="228E1A7C"/>
    <w:rsid w:val="22941ED8"/>
    <w:rsid w:val="22FD42DA"/>
    <w:rsid w:val="23087A91"/>
    <w:rsid w:val="23471EE9"/>
    <w:rsid w:val="2352717F"/>
    <w:rsid w:val="23660A05"/>
    <w:rsid w:val="237041E3"/>
    <w:rsid w:val="237431B0"/>
    <w:rsid w:val="247316FD"/>
    <w:rsid w:val="24887EA6"/>
    <w:rsid w:val="249204FC"/>
    <w:rsid w:val="24D25A92"/>
    <w:rsid w:val="251353A8"/>
    <w:rsid w:val="25865479"/>
    <w:rsid w:val="259B1E7E"/>
    <w:rsid w:val="265165AD"/>
    <w:rsid w:val="268F05CC"/>
    <w:rsid w:val="27411DBA"/>
    <w:rsid w:val="27544B9D"/>
    <w:rsid w:val="2770139F"/>
    <w:rsid w:val="27B71403"/>
    <w:rsid w:val="284A4E31"/>
    <w:rsid w:val="2859370C"/>
    <w:rsid w:val="28803835"/>
    <w:rsid w:val="28CC55C8"/>
    <w:rsid w:val="29070618"/>
    <w:rsid w:val="29E66142"/>
    <w:rsid w:val="2A024F82"/>
    <w:rsid w:val="2A76755E"/>
    <w:rsid w:val="2AB252CF"/>
    <w:rsid w:val="2ADF3094"/>
    <w:rsid w:val="2B7647A2"/>
    <w:rsid w:val="2B7A4EFF"/>
    <w:rsid w:val="2B9076E2"/>
    <w:rsid w:val="2BD9140F"/>
    <w:rsid w:val="2BE45E6D"/>
    <w:rsid w:val="2BF67D7D"/>
    <w:rsid w:val="2C237419"/>
    <w:rsid w:val="2C531703"/>
    <w:rsid w:val="2C5B2BB8"/>
    <w:rsid w:val="2C69365C"/>
    <w:rsid w:val="2C8A703F"/>
    <w:rsid w:val="2CA624D2"/>
    <w:rsid w:val="2CAB2600"/>
    <w:rsid w:val="2CF6672E"/>
    <w:rsid w:val="2DED3F13"/>
    <w:rsid w:val="2E2B3406"/>
    <w:rsid w:val="2E4A7B35"/>
    <w:rsid w:val="2EE372C3"/>
    <w:rsid w:val="2F1A1FC9"/>
    <w:rsid w:val="2F943E4B"/>
    <w:rsid w:val="2FC7793C"/>
    <w:rsid w:val="2FF2314C"/>
    <w:rsid w:val="2FFB0F18"/>
    <w:rsid w:val="300D3841"/>
    <w:rsid w:val="3024185D"/>
    <w:rsid w:val="304A1A07"/>
    <w:rsid w:val="30C5468C"/>
    <w:rsid w:val="310A600B"/>
    <w:rsid w:val="31394B6D"/>
    <w:rsid w:val="318F3095"/>
    <w:rsid w:val="322054E2"/>
    <w:rsid w:val="32696861"/>
    <w:rsid w:val="32FD4595"/>
    <w:rsid w:val="335B5D3E"/>
    <w:rsid w:val="33907B65"/>
    <w:rsid w:val="33B15E67"/>
    <w:rsid w:val="33B77020"/>
    <w:rsid w:val="340269D0"/>
    <w:rsid w:val="34412505"/>
    <w:rsid w:val="34D53C58"/>
    <w:rsid w:val="350202EE"/>
    <w:rsid w:val="350D0E7D"/>
    <w:rsid w:val="35687CE4"/>
    <w:rsid w:val="362C35A8"/>
    <w:rsid w:val="364F58B6"/>
    <w:rsid w:val="3681181F"/>
    <w:rsid w:val="36911E77"/>
    <w:rsid w:val="36932EDB"/>
    <w:rsid w:val="36B46682"/>
    <w:rsid w:val="37620260"/>
    <w:rsid w:val="3764581F"/>
    <w:rsid w:val="37BA5750"/>
    <w:rsid w:val="37CD16BE"/>
    <w:rsid w:val="38114365"/>
    <w:rsid w:val="38C0367A"/>
    <w:rsid w:val="38D67C8C"/>
    <w:rsid w:val="39023EF6"/>
    <w:rsid w:val="39256A34"/>
    <w:rsid w:val="39353471"/>
    <w:rsid w:val="39877ADA"/>
    <w:rsid w:val="39C27E4A"/>
    <w:rsid w:val="39CE6967"/>
    <w:rsid w:val="39DF650B"/>
    <w:rsid w:val="39EA2C12"/>
    <w:rsid w:val="3A144156"/>
    <w:rsid w:val="3A175EE4"/>
    <w:rsid w:val="3A7A48F4"/>
    <w:rsid w:val="3AA724BE"/>
    <w:rsid w:val="3B113C56"/>
    <w:rsid w:val="3B166EF3"/>
    <w:rsid w:val="3B2A1697"/>
    <w:rsid w:val="3B357729"/>
    <w:rsid w:val="3B6303A3"/>
    <w:rsid w:val="3B970652"/>
    <w:rsid w:val="3C63749C"/>
    <w:rsid w:val="3C7C0AD9"/>
    <w:rsid w:val="3CA27920"/>
    <w:rsid w:val="3CAF6491"/>
    <w:rsid w:val="3CB25365"/>
    <w:rsid w:val="3D266F20"/>
    <w:rsid w:val="3D6E0ED6"/>
    <w:rsid w:val="3D8C7D9E"/>
    <w:rsid w:val="3DDC1CCC"/>
    <w:rsid w:val="3E062AFC"/>
    <w:rsid w:val="3E474407"/>
    <w:rsid w:val="3E5C4F83"/>
    <w:rsid w:val="3E5E374E"/>
    <w:rsid w:val="3EB96119"/>
    <w:rsid w:val="3EBF12C6"/>
    <w:rsid w:val="3ED661F9"/>
    <w:rsid w:val="3FC364AB"/>
    <w:rsid w:val="3FF763C6"/>
    <w:rsid w:val="400F6405"/>
    <w:rsid w:val="40144136"/>
    <w:rsid w:val="401E686E"/>
    <w:rsid w:val="405D1EEF"/>
    <w:rsid w:val="4068667C"/>
    <w:rsid w:val="406D3CCC"/>
    <w:rsid w:val="40BD4D08"/>
    <w:rsid w:val="40E206DE"/>
    <w:rsid w:val="411A6716"/>
    <w:rsid w:val="411F3664"/>
    <w:rsid w:val="41674852"/>
    <w:rsid w:val="41715365"/>
    <w:rsid w:val="417F330F"/>
    <w:rsid w:val="418774A7"/>
    <w:rsid w:val="41B36892"/>
    <w:rsid w:val="423D0E1A"/>
    <w:rsid w:val="42A77643"/>
    <w:rsid w:val="42BB3568"/>
    <w:rsid w:val="433618E3"/>
    <w:rsid w:val="434906EF"/>
    <w:rsid w:val="43902F92"/>
    <w:rsid w:val="43BB5864"/>
    <w:rsid w:val="43D47283"/>
    <w:rsid w:val="44015158"/>
    <w:rsid w:val="443F6670"/>
    <w:rsid w:val="446964C0"/>
    <w:rsid w:val="44D65C21"/>
    <w:rsid w:val="45272B0A"/>
    <w:rsid w:val="455F48D6"/>
    <w:rsid w:val="45741C31"/>
    <w:rsid w:val="457B6D5D"/>
    <w:rsid w:val="457F1C35"/>
    <w:rsid w:val="45B17D82"/>
    <w:rsid w:val="45BD5D2A"/>
    <w:rsid w:val="46185497"/>
    <w:rsid w:val="46A94114"/>
    <w:rsid w:val="46D23591"/>
    <w:rsid w:val="4747483B"/>
    <w:rsid w:val="4752024C"/>
    <w:rsid w:val="479D34DA"/>
    <w:rsid w:val="48384FF9"/>
    <w:rsid w:val="48B4556B"/>
    <w:rsid w:val="48D15C4E"/>
    <w:rsid w:val="49741C41"/>
    <w:rsid w:val="4985592B"/>
    <w:rsid w:val="49BF5318"/>
    <w:rsid w:val="4A0B2CD5"/>
    <w:rsid w:val="4A312D13"/>
    <w:rsid w:val="4A431B58"/>
    <w:rsid w:val="4A642301"/>
    <w:rsid w:val="4B2847BE"/>
    <w:rsid w:val="4B726BBC"/>
    <w:rsid w:val="4BB23436"/>
    <w:rsid w:val="4C4654A4"/>
    <w:rsid w:val="4C4C1D0E"/>
    <w:rsid w:val="4C9A4880"/>
    <w:rsid w:val="4CAF2D12"/>
    <w:rsid w:val="4CF2108F"/>
    <w:rsid w:val="4D4A633F"/>
    <w:rsid w:val="4D55097D"/>
    <w:rsid w:val="4D5E77CB"/>
    <w:rsid w:val="4D76741B"/>
    <w:rsid w:val="4D9B0A0F"/>
    <w:rsid w:val="4DB6051A"/>
    <w:rsid w:val="4DDD6FB3"/>
    <w:rsid w:val="4E060928"/>
    <w:rsid w:val="4E407A9C"/>
    <w:rsid w:val="4E4468D4"/>
    <w:rsid w:val="4E5B5EB2"/>
    <w:rsid w:val="4E877F54"/>
    <w:rsid w:val="4E8B296E"/>
    <w:rsid w:val="4EF440F3"/>
    <w:rsid w:val="4F3C0534"/>
    <w:rsid w:val="4F5F3126"/>
    <w:rsid w:val="4F7D7854"/>
    <w:rsid w:val="4F7F7588"/>
    <w:rsid w:val="4FEE3C8F"/>
    <w:rsid w:val="4FF84140"/>
    <w:rsid w:val="501C3144"/>
    <w:rsid w:val="50343626"/>
    <w:rsid w:val="5099693A"/>
    <w:rsid w:val="50D504DE"/>
    <w:rsid w:val="50EF7D38"/>
    <w:rsid w:val="51100F7F"/>
    <w:rsid w:val="5110162C"/>
    <w:rsid w:val="514D4ED0"/>
    <w:rsid w:val="51582E03"/>
    <w:rsid w:val="516440E8"/>
    <w:rsid w:val="51AA3409"/>
    <w:rsid w:val="5212048B"/>
    <w:rsid w:val="52153B23"/>
    <w:rsid w:val="52503D47"/>
    <w:rsid w:val="52BE2755"/>
    <w:rsid w:val="52C252CC"/>
    <w:rsid w:val="52D454F2"/>
    <w:rsid w:val="532E2091"/>
    <w:rsid w:val="542E3E3B"/>
    <w:rsid w:val="5454185E"/>
    <w:rsid w:val="5461053A"/>
    <w:rsid w:val="5466087F"/>
    <w:rsid w:val="546C79AD"/>
    <w:rsid w:val="548328D3"/>
    <w:rsid w:val="54970FD2"/>
    <w:rsid w:val="54A05FA4"/>
    <w:rsid w:val="54E77D81"/>
    <w:rsid w:val="552672F6"/>
    <w:rsid w:val="55A80DB5"/>
    <w:rsid w:val="55E1405A"/>
    <w:rsid w:val="561E045F"/>
    <w:rsid w:val="5651155E"/>
    <w:rsid w:val="568277FC"/>
    <w:rsid w:val="56902235"/>
    <w:rsid w:val="579322BC"/>
    <w:rsid w:val="57DC07AC"/>
    <w:rsid w:val="58250A7C"/>
    <w:rsid w:val="585D0D73"/>
    <w:rsid w:val="5877287D"/>
    <w:rsid w:val="587E2B60"/>
    <w:rsid w:val="589C7904"/>
    <w:rsid w:val="58BF1CDD"/>
    <w:rsid w:val="594B1977"/>
    <w:rsid w:val="598067D5"/>
    <w:rsid w:val="59866208"/>
    <w:rsid w:val="59965ABB"/>
    <w:rsid w:val="59CC6296"/>
    <w:rsid w:val="5A7523CD"/>
    <w:rsid w:val="5AC874F0"/>
    <w:rsid w:val="5AE56123"/>
    <w:rsid w:val="5AF06C9D"/>
    <w:rsid w:val="5B407769"/>
    <w:rsid w:val="5BA0270B"/>
    <w:rsid w:val="5BB07EA3"/>
    <w:rsid w:val="5C175839"/>
    <w:rsid w:val="5CAE184C"/>
    <w:rsid w:val="5CCF3427"/>
    <w:rsid w:val="5CD958CD"/>
    <w:rsid w:val="5D4851DD"/>
    <w:rsid w:val="5D557162"/>
    <w:rsid w:val="5E431810"/>
    <w:rsid w:val="5E654974"/>
    <w:rsid w:val="5E822C64"/>
    <w:rsid w:val="5E8D2FE5"/>
    <w:rsid w:val="5E9E2143"/>
    <w:rsid w:val="5EA14CF3"/>
    <w:rsid w:val="5F9E0A02"/>
    <w:rsid w:val="5FF74ED1"/>
    <w:rsid w:val="602C263E"/>
    <w:rsid w:val="60307729"/>
    <w:rsid w:val="60325BBE"/>
    <w:rsid w:val="60337945"/>
    <w:rsid w:val="606E5643"/>
    <w:rsid w:val="607A1087"/>
    <w:rsid w:val="60BF7B30"/>
    <w:rsid w:val="60DE1EFA"/>
    <w:rsid w:val="60E50712"/>
    <w:rsid w:val="620E1834"/>
    <w:rsid w:val="62281FEF"/>
    <w:rsid w:val="62492030"/>
    <w:rsid w:val="62B37EF2"/>
    <w:rsid w:val="62D73A94"/>
    <w:rsid w:val="63194217"/>
    <w:rsid w:val="63305152"/>
    <w:rsid w:val="63550450"/>
    <w:rsid w:val="63B63C60"/>
    <w:rsid w:val="63BC4201"/>
    <w:rsid w:val="64132B93"/>
    <w:rsid w:val="64347265"/>
    <w:rsid w:val="64426ECA"/>
    <w:rsid w:val="64450612"/>
    <w:rsid w:val="646A1271"/>
    <w:rsid w:val="646E44A6"/>
    <w:rsid w:val="656D328E"/>
    <w:rsid w:val="65883AB5"/>
    <w:rsid w:val="65F50F8E"/>
    <w:rsid w:val="66312549"/>
    <w:rsid w:val="66397A67"/>
    <w:rsid w:val="667B3592"/>
    <w:rsid w:val="66875EE0"/>
    <w:rsid w:val="66C435DD"/>
    <w:rsid w:val="67C00163"/>
    <w:rsid w:val="67F355AC"/>
    <w:rsid w:val="68710EE3"/>
    <w:rsid w:val="688D12C9"/>
    <w:rsid w:val="68B257B8"/>
    <w:rsid w:val="69405CFD"/>
    <w:rsid w:val="69EC4C56"/>
    <w:rsid w:val="69F42D6B"/>
    <w:rsid w:val="6A0C5365"/>
    <w:rsid w:val="6A5C7947"/>
    <w:rsid w:val="6A641A36"/>
    <w:rsid w:val="6A6D3308"/>
    <w:rsid w:val="6A9402CC"/>
    <w:rsid w:val="6AC55297"/>
    <w:rsid w:val="6AF6102C"/>
    <w:rsid w:val="6B114C1A"/>
    <w:rsid w:val="6B2B4114"/>
    <w:rsid w:val="6B5E7080"/>
    <w:rsid w:val="6B7B5383"/>
    <w:rsid w:val="6B7F0D8F"/>
    <w:rsid w:val="6BB6752A"/>
    <w:rsid w:val="6BB85749"/>
    <w:rsid w:val="6C0A1CDB"/>
    <w:rsid w:val="6C1B1768"/>
    <w:rsid w:val="6D7C2742"/>
    <w:rsid w:val="6DAC0B96"/>
    <w:rsid w:val="6DF9485E"/>
    <w:rsid w:val="6E2C5A0D"/>
    <w:rsid w:val="6E4D179F"/>
    <w:rsid w:val="6F5F48E4"/>
    <w:rsid w:val="6F6019D1"/>
    <w:rsid w:val="6F8C77B6"/>
    <w:rsid w:val="6FC32718"/>
    <w:rsid w:val="70252703"/>
    <w:rsid w:val="70543150"/>
    <w:rsid w:val="7076728C"/>
    <w:rsid w:val="70C715EC"/>
    <w:rsid w:val="7118323A"/>
    <w:rsid w:val="71307C87"/>
    <w:rsid w:val="713D0CB0"/>
    <w:rsid w:val="72863E4F"/>
    <w:rsid w:val="728B3C94"/>
    <w:rsid w:val="72A67657"/>
    <w:rsid w:val="73000CF9"/>
    <w:rsid w:val="73126A27"/>
    <w:rsid w:val="73C94A09"/>
    <w:rsid w:val="73DC46E0"/>
    <w:rsid w:val="73F03AA8"/>
    <w:rsid w:val="74123FA8"/>
    <w:rsid w:val="74154608"/>
    <w:rsid w:val="741A26D9"/>
    <w:rsid w:val="746D05F1"/>
    <w:rsid w:val="74731B85"/>
    <w:rsid w:val="74D27347"/>
    <w:rsid w:val="74E4025B"/>
    <w:rsid w:val="75342426"/>
    <w:rsid w:val="755E7366"/>
    <w:rsid w:val="75615004"/>
    <w:rsid w:val="757B1C85"/>
    <w:rsid w:val="76AE4031"/>
    <w:rsid w:val="76B07C6D"/>
    <w:rsid w:val="771D706E"/>
    <w:rsid w:val="77464ED6"/>
    <w:rsid w:val="78083786"/>
    <w:rsid w:val="78153E8C"/>
    <w:rsid w:val="78343CE1"/>
    <w:rsid w:val="785B2C70"/>
    <w:rsid w:val="788C033F"/>
    <w:rsid w:val="78D13A33"/>
    <w:rsid w:val="78F718E7"/>
    <w:rsid w:val="79BE26D1"/>
    <w:rsid w:val="79BE5BBE"/>
    <w:rsid w:val="79C52AA7"/>
    <w:rsid w:val="79E42E56"/>
    <w:rsid w:val="7B6332DF"/>
    <w:rsid w:val="7B642DC3"/>
    <w:rsid w:val="7B9E0270"/>
    <w:rsid w:val="7C442459"/>
    <w:rsid w:val="7C7B6F55"/>
    <w:rsid w:val="7CAF622F"/>
    <w:rsid w:val="7CC30F06"/>
    <w:rsid w:val="7D08231F"/>
    <w:rsid w:val="7D327789"/>
    <w:rsid w:val="7D496A70"/>
    <w:rsid w:val="7DFD0298"/>
    <w:rsid w:val="7E1356DA"/>
    <w:rsid w:val="7EE73054"/>
    <w:rsid w:val="7F321906"/>
    <w:rsid w:val="7FC53A36"/>
    <w:rsid w:val="7FE54E46"/>
    <w:rsid w:val="7FF53094"/>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2"/>
    <w:qFormat/>
    <w:uiPriority w:val="0"/>
    <w:pPr>
      <w:keepNext/>
      <w:keepLines/>
      <w:spacing w:beforeAutospacing="0" w:afterAutospacing="0" w:line="560" w:lineRule="exact"/>
      <w:jc w:val="center"/>
      <w:outlineLvl w:val="0"/>
    </w:pPr>
    <w:rPr>
      <w:rFonts w:eastAsia="黑体"/>
      <w:kern w:val="44"/>
      <w:sz w:val="32"/>
      <w:szCs w:val="20"/>
    </w:rPr>
  </w:style>
  <w:style w:type="paragraph" w:styleId="3">
    <w:name w:val="heading 2"/>
    <w:basedOn w:val="1"/>
    <w:next w:val="1"/>
    <w:link w:val="11"/>
    <w:qFormat/>
    <w:uiPriority w:val="0"/>
    <w:pPr>
      <w:keepNext/>
      <w:keepLines/>
      <w:spacing w:beforeLines="0" w:beforeAutospacing="0" w:afterLines="0" w:afterAutospacing="0" w:line="560" w:lineRule="exact"/>
      <w:ind w:firstLine="640" w:firstLineChars="200"/>
      <w:outlineLvl w:val="1"/>
    </w:pPr>
    <w:rPr>
      <w:rFonts w:ascii="Arial" w:hAnsi="Arial" w:eastAsia="黑体"/>
      <w:kern w:val="0"/>
      <w:sz w:val="32"/>
      <w:szCs w:val="20"/>
    </w:rPr>
  </w:style>
  <w:style w:type="paragraph" w:styleId="4">
    <w:name w:val="heading 3"/>
    <w:basedOn w:val="1"/>
    <w:next w:val="1"/>
    <w:qFormat/>
    <w:uiPriority w:val="9"/>
    <w:pPr>
      <w:keepNext/>
      <w:keepLines/>
      <w:spacing w:before="200" w:beforeLines="200" w:beforeAutospacing="0" w:after="100" w:afterLines="100" w:afterAutospacing="0" w:line="560" w:lineRule="exact"/>
      <w:jc w:val="center"/>
      <w:outlineLvl w:val="2"/>
    </w:pPr>
    <w:rPr>
      <w:sz w:val="44"/>
    </w:rPr>
  </w:style>
  <w:style w:type="character" w:default="1" w:styleId="8">
    <w:name w:val="Default Paragraph Font"/>
    <w:unhideWhenUsed/>
    <w:qFormat/>
    <w:uiPriority w:val="1"/>
  </w:style>
  <w:style w:type="table" w:default="1" w:styleId="9">
    <w:name w:val="Normal Table"/>
    <w:unhideWhenUsed/>
    <w:qFormat/>
    <w:uiPriority w:val="99"/>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5">
    <w:name w:val="footer"/>
    <w:basedOn w:val="1"/>
    <w:unhideWhenUsed/>
    <w:uiPriority w:val="99"/>
    <w:pPr>
      <w:tabs>
        <w:tab w:val="center" w:pos="4153"/>
        <w:tab w:val="right" w:pos="8306"/>
      </w:tabs>
      <w:snapToGrid w:val="0"/>
      <w:jc w:val="left"/>
    </w:pPr>
    <w:rPr>
      <w:sz w:val="18"/>
    </w:rPr>
  </w:style>
  <w:style w:type="paragraph" w:styleId="6">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unhideWhenUsed/>
    <w:qFormat/>
    <w:uiPriority w:val="39"/>
    <w:pPr>
      <w:spacing w:line="560" w:lineRule="exact"/>
      <w:ind w:left="630" w:leftChars="300" w:right="630" w:rightChars="300"/>
    </w:pPr>
    <w:rPr>
      <w:rFonts w:eastAsia="楷体"/>
      <w:sz w:val="32"/>
    </w:rPr>
  </w:style>
  <w:style w:type="paragraph" w:customStyle="1" w:styleId="10">
    <w:name w:val="目录"/>
    <w:basedOn w:val="1"/>
    <w:qFormat/>
    <w:uiPriority w:val="0"/>
    <w:pPr>
      <w:spacing w:line="560" w:lineRule="exact"/>
      <w:ind w:firstLine="640" w:firstLineChars="200"/>
      <w:jc w:val="both"/>
    </w:pPr>
    <w:rPr>
      <w:rFonts w:eastAsia="楷体"/>
      <w:sz w:val="32"/>
    </w:rPr>
  </w:style>
  <w:style w:type="character" w:customStyle="1" w:styleId="11">
    <w:name w:val="标题 2 Char"/>
    <w:link w:val="3"/>
    <w:qFormat/>
    <w:uiPriority w:val="0"/>
    <w:rPr>
      <w:rFonts w:ascii="Arial" w:hAnsi="Arial" w:eastAsia="黑体"/>
      <w:sz w:val="32"/>
    </w:rPr>
  </w:style>
  <w:style w:type="character" w:customStyle="1" w:styleId="12">
    <w:name w:val="标题 1 Char"/>
    <w:link w:val="2"/>
    <w:qFormat/>
    <w:uiPriority w:val="0"/>
    <w:rPr>
      <w:rFonts w:ascii="Calibri" w:hAnsi="Calibri" w:eastAsia="黑体"/>
      <w:kern w:val="44"/>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9</Pages>
  <Words>562</Words>
  <Characters>3204</Characters>
  <Lines>26</Lines>
  <Paragraphs>7</Paragraphs>
  <ScaleCrop>false</ScaleCrop>
  <LinksUpToDate>false</LinksUpToDate>
  <CharactersWithSpaces>3759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2016-08-23T02:18:00Z</dcterms:created>
  <dc:creator>Sky123.Org</dc:creator>
  <cp:lastModifiedBy>Administrator</cp:lastModifiedBy>
  <dcterms:modified xsi:type="dcterms:W3CDTF">2017-02-16T16:48:03Z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